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1D91" w14:textId="77777777" w:rsidR="005C185C" w:rsidRDefault="005C185C" w:rsidP="003F547C">
      <w:pPr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  <w:bookmarkStart w:id="0" w:name="_GoBack"/>
      <w:bookmarkEnd w:id="0"/>
    </w:p>
    <w:p w14:paraId="28E355DF" w14:textId="45D652C5" w:rsidR="003F547C" w:rsidRPr="0060311A" w:rsidRDefault="002B72A3" w:rsidP="003F547C">
      <w:pPr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  <w:r w:rsidRPr="0060311A">
        <w:rPr>
          <w:rFonts w:ascii="Arial" w:hAnsi="Arial" w:cs="Arial"/>
          <w:b/>
          <w:bCs/>
          <w:sz w:val="32"/>
          <w:szCs w:val="28"/>
          <w:u w:val="single"/>
        </w:rPr>
        <w:t>GENERAL PEDIATRICS CBD ROTATION PLAN</w:t>
      </w:r>
    </w:p>
    <w:p w14:paraId="2B3B3197" w14:textId="002C9B60" w:rsidR="00F76808" w:rsidRPr="0060311A" w:rsidRDefault="00F76808" w:rsidP="003F547C">
      <w:pPr>
        <w:jc w:val="center"/>
        <w:rPr>
          <w:rFonts w:ascii="Arial" w:hAnsi="Arial" w:cs="Arial"/>
          <w:bCs/>
        </w:rPr>
      </w:pPr>
      <w:r w:rsidRPr="0060311A">
        <w:rPr>
          <w:rFonts w:ascii="Arial" w:hAnsi="Arial" w:cs="Arial"/>
          <w:bCs/>
        </w:rPr>
        <w:t>(</w:t>
      </w:r>
      <w:r w:rsidR="0060311A" w:rsidRPr="0060311A">
        <w:rPr>
          <w:rFonts w:ascii="Arial" w:hAnsi="Arial" w:cs="Arial"/>
          <w:bCs/>
        </w:rPr>
        <w:t>**</w:t>
      </w:r>
      <w:r w:rsidRPr="0060311A">
        <w:rPr>
          <w:rFonts w:ascii="Arial" w:hAnsi="Arial" w:cs="Arial"/>
          <w:bCs/>
        </w:rPr>
        <w:t>Former Goals &amp; Objectives Document</w:t>
      </w:r>
      <w:r w:rsidR="0060311A" w:rsidRPr="0060311A">
        <w:rPr>
          <w:rFonts w:ascii="Arial" w:hAnsi="Arial" w:cs="Arial"/>
          <w:bCs/>
        </w:rPr>
        <w:t>**</w:t>
      </w:r>
      <w:r w:rsidRPr="0060311A">
        <w:rPr>
          <w:rFonts w:ascii="Arial" w:hAnsi="Arial" w:cs="Arial"/>
          <w:bCs/>
        </w:rPr>
        <w:t>)</w:t>
      </w:r>
    </w:p>
    <w:p w14:paraId="642C64EA" w14:textId="16285B3F" w:rsidR="00106BB7" w:rsidRPr="0060311A" w:rsidRDefault="00106BB7" w:rsidP="003F54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E30BC2" w14:textId="5E3AAF30" w:rsidR="00F76808" w:rsidRPr="0060311A" w:rsidRDefault="00F76808" w:rsidP="00270E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0311A">
        <w:rPr>
          <w:rFonts w:ascii="Arial" w:hAnsi="Arial" w:cs="Arial"/>
          <w:b/>
          <w:bCs/>
          <w:color w:val="0070C0"/>
          <w:sz w:val="28"/>
          <w:szCs w:val="28"/>
        </w:rPr>
        <w:t xml:space="preserve">Name of </w:t>
      </w:r>
      <w:r w:rsidR="00143423" w:rsidRPr="0060311A">
        <w:rPr>
          <w:rFonts w:ascii="Arial" w:hAnsi="Arial" w:cs="Arial"/>
          <w:b/>
          <w:bCs/>
          <w:color w:val="0070C0"/>
          <w:sz w:val="28"/>
          <w:szCs w:val="28"/>
        </w:rPr>
        <w:t>Rotation:</w:t>
      </w:r>
      <w:r w:rsidR="00143423" w:rsidRPr="0060311A">
        <w:rPr>
          <w:rFonts w:ascii="Arial" w:hAnsi="Arial" w:cs="Arial"/>
          <w:b/>
          <w:bCs/>
          <w:sz w:val="28"/>
          <w:szCs w:val="28"/>
        </w:rPr>
        <w:t xml:space="preserve"> </w:t>
      </w:r>
      <w:r w:rsidR="005262A0">
        <w:rPr>
          <w:rFonts w:ascii="Arial" w:hAnsi="Arial" w:cs="Arial"/>
          <w:bCs/>
          <w:i/>
          <w:color w:val="7F7F7F" w:themeColor="text1" w:themeTint="80"/>
          <w:sz w:val="28"/>
          <w:szCs w:val="28"/>
        </w:rPr>
        <w:t xml:space="preserve">Pediatric </w:t>
      </w:r>
      <w:r w:rsidR="00DD7A99">
        <w:rPr>
          <w:rFonts w:ascii="Arial" w:hAnsi="Arial" w:cs="Arial"/>
          <w:bCs/>
          <w:i/>
          <w:color w:val="7F7F7F" w:themeColor="text1" w:themeTint="80"/>
          <w:sz w:val="28"/>
          <w:szCs w:val="28"/>
        </w:rPr>
        <w:t>Gastroenterology</w:t>
      </w:r>
    </w:p>
    <w:p w14:paraId="4B66931C" w14:textId="77777777" w:rsidR="009369C0" w:rsidRPr="0060311A" w:rsidRDefault="009369C0" w:rsidP="00F46CB8">
      <w:pPr>
        <w:rPr>
          <w:rFonts w:ascii="Arial" w:hAnsi="Arial" w:cs="Arial"/>
          <w:b/>
          <w:bCs/>
          <w:sz w:val="28"/>
          <w:szCs w:val="28"/>
        </w:rPr>
      </w:pPr>
    </w:p>
    <w:p w14:paraId="5325B766" w14:textId="49C0FC28" w:rsidR="00F76808" w:rsidRPr="0060311A" w:rsidRDefault="00F76808" w:rsidP="005C185C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60311A">
        <w:rPr>
          <w:rFonts w:ascii="Arial" w:hAnsi="Arial" w:cs="Arial"/>
          <w:b/>
          <w:bCs/>
          <w:color w:val="0070C0"/>
          <w:sz w:val="28"/>
          <w:szCs w:val="28"/>
        </w:rPr>
        <w:t>CBD Stage of Rotation:</w:t>
      </w:r>
      <w:r w:rsidRPr="0060311A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C185C">
        <w:rPr>
          <w:rFonts w:ascii="Arial" w:hAnsi="Arial" w:cs="Arial"/>
          <w:bCs/>
          <w:color w:val="7F7F7F" w:themeColor="text1" w:themeTint="80"/>
          <w:sz w:val="28"/>
          <w:szCs w:val="28"/>
        </w:rPr>
        <w:t>Transition to Discipline and/or Foundations</w:t>
      </w:r>
    </w:p>
    <w:p w14:paraId="799FBA94" w14:textId="45A88B61" w:rsidR="00F76808" w:rsidRPr="0060311A" w:rsidRDefault="009369C0" w:rsidP="005C185C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60311A">
        <w:rPr>
          <w:rFonts w:ascii="Arial" w:hAnsi="Arial" w:cs="Arial"/>
          <w:b/>
          <w:bCs/>
          <w:color w:val="0070C0"/>
          <w:sz w:val="28"/>
          <w:szCs w:val="28"/>
        </w:rPr>
        <w:t>PGY Level of Rotation:</w:t>
      </w:r>
      <w:r w:rsidRPr="0060311A">
        <w:rPr>
          <w:rFonts w:ascii="Arial" w:hAnsi="Arial" w:cs="Arial"/>
          <w:bCs/>
          <w:sz w:val="28"/>
          <w:szCs w:val="28"/>
        </w:rPr>
        <w:t xml:space="preserve">  </w:t>
      </w:r>
      <w:r w:rsidRPr="005C185C">
        <w:rPr>
          <w:rFonts w:ascii="Arial" w:hAnsi="Arial" w:cs="Arial"/>
          <w:bCs/>
          <w:color w:val="7F7F7F" w:themeColor="text1" w:themeTint="80"/>
          <w:sz w:val="28"/>
          <w:szCs w:val="28"/>
        </w:rPr>
        <w:t xml:space="preserve">PGY-1 </w:t>
      </w:r>
      <w:r w:rsidR="00E46078" w:rsidRPr="0060311A">
        <w:rPr>
          <w:rFonts w:ascii="Arial" w:hAnsi="Arial" w:cs="Arial"/>
          <w:bCs/>
          <w:sz w:val="28"/>
          <w:szCs w:val="28"/>
        </w:rPr>
        <w:t xml:space="preserve">           </w:t>
      </w:r>
      <w:r w:rsidRPr="0060311A">
        <w:rPr>
          <w:rFonts w:ascii="Arial" w:hAnsi="Arial" w:cs="Arial"/>
          <w:b/>
          <w:bCs/>
          <w:color w:val="0070C0"/>
          <w:sz w:val="28"/>
          <w:szCs w:val="28"/>
        </w:rPr>
        <w:t>Length of Rotation:</w:t>
      </w:r>
      <w:r w:rsidRPr="0060311A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C185C">
        <w:rPr>
          <w:rFonts w:ascii="Arial" w:hAnsi="Arial" w:cs="Arial"/>
          <w:bCs/>
          <w:color w:val="7F7F7F" w:themeColor="text1" w:themeTint="80"/>
          <w:sz w:val="28"/>
          <w:szCs w:val="28"/>
        </w:rPr>
        <w:t xml:space="preserve">1 block </w:t>
      </w:r>
    </w:p>
    <w:p w14:paraId="5160280B" w14:textId="461B7FD5" w:rsidR="00AA79E0" w:rsidRPr="0060311A" w:rsidRDefault="00AA79E0" w:rsidP="005C185C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60311A">
        <w:rPr>
          <w:rFonts w:ascii="Arial" w:hAnsi="Arial" w:cs="Arial"/>
          <w:b/>
          <w:bCs/>
          <w:color w:val="0070C0"/>
          <w:sz w:val="28"/>
          <w:szCs w:val="28"/>
        </w:rPr>
        <w:t xml:space="preserve">Rotation Location/Site: </w:t>
      </w:r>
      <w:r w:rsidR="00634D40" w:rsidRPr="0060311A">
        <w:rPr>
          <w:rFonts w:ascii="Arial" w:hAnsi="Arial" w:cs="Arial"/>
          <w:bCs/>
          <w:sz w:val="28"/>
          <w:szCs w:val="28"/>
        </w:rPr>
        <w:t xml:space="preserve"> </w:t>
      </w:r>
      <w:r w:rsidR="005262A0">
        <w:rPr>
          <w:rFonts w:ascii="Arial" w:hAnsi="Arial" w:cs="Arial"/>
          <w:bCs/>
          <w:color w:val="7F7F7F" w:themeColor="text1" w:themeTint="80"/>
          <w:sz w:val="28"/>
          <w:szCs w:val="28"/>
        </w:rPr>
        <w:t>Alberta Children’s Hospital</w:t>
      </w:r>
    </w:p>
    <w:p w14:paraId="7C9BAC68" w14:textId="53D9511A" w:rsidR="005262A0" w:rsidRDefault="009369C0" w:rsidP="005C185C">
      <w:pPr>
        <w:spacing w:line="360" w:lineRule="auto"/>
        <w:rPr>
          <w:rFonts w:ascii="Arial" w:hAnsi="Arial" w:cs="Arial"/>
          <w:bCs/>
          <w:i/>
          <w:color w:val="7F7F7F" w:themeColor="text1" w:themeTint="80"/>
          <w:sz w:val="28"/>
          <w:szCs w:val="28"/>
        </w:rPr>
      </w:pPr>
      <w:r w:rsidRPr="0060311A">
        <w:rPr>
          <w:rFonts w:ascii="Arial" w:hAnsi="Arial" w:cs="Arial"/>
          <w:b/>
          <w:bCs/>
          <w:color w:val="0070C0"/>
          <w:sz w:val="28"/>
          <w:szCs w:val="28"/>
        </w:rPr>
        <w:t xml:space="preserve">Rotation </w:t>
      </w:r>
      <w:r w:rsidR="0007475F" w:rsidRPr="0060311A">
        <w:rPr>
          <w:rFonts w:ascii="Arial" w:hAnsi="Arial" w:cs="Arial"/>
          <w:b/>
          <w:bCs/>
          <w:color w:val="0070C0"/>
          <w:sz w:val="28"/>
          <w:szCs w:val="28"/>
        </w:rPr>
        <w:t>Leads/</w:t>
      </w:r>
      <w:r w:rsidRPr="0060311A">
        <w:rPr>
          <w:rFonts w:ascii="Arial" w:hAnsi="Arial" w:cs="Arial"/>
          <w:b/>
          <w:bCs/>
          <w:color w:val="0070C0"/>
          <w:sz w:val="28"/>
          <w:szCs w:val="28"/>
        </w:rPr>
        <w:t xml:space="preserve">Contacts: </w:t>
      </w:r>
      <w:r w:rsidR="005262A0">
        <w:rPr>
          <w:rFonts w:ascii="Arial" w:hAnsi="Arial" w:cs="Arial"/>
          <w:bCs/>
          <w:i/>
          <w:color w:val="7F7F7F" w:themeColor="text1" w:themeTint="80"/>
          <w:sz w:val="28"/>
          <w:szCs w:val="28"/>
        </w:rPr>
        <w:t xml:space="preserve">Dr. </w:t>
      </w:r>
      <w:r w:rsidR="00DD7A99">
        <w:rPr>
          <w:rFonts w:ascii="Arial" w:hAnsi="Arial" w:cs="Arial"/>
          <w:bCs/>
          <w:i/>
          <w:color w:val="7F7F7F" w:themeColor="text1" w:themeTint="80"/>
          <w:sz w:val="28"/>
          <w:szCs w:val="28"/>
        </w:rPr>
        <w:t>Gary Galante (gary.galante@ahs.ca)</w:t>
      </w:r>
      <w:r w:rsidR="005262A0">
        <w:rPr>
          <w:rFonts w:ascii="Arial" w:hAnsi="Arial" w:cs="Arial"/>
          <w:bCs/>
          <w:i/>
          <w:color w:val="7F7F7F" w:themeColor="text1" w:themeTint="80"/>
          <w:sz w:val="28"/>
          <w:szCs w:val="28"/>
        </w:rPr>
        <w:t xml:space="preserve"> </w:t>
      </w:r>
    </w:p>
    <w:p w14:paraId="3B2A859A" w14:textId="6ADB6719" w:rsidR="009369C0" w:rsidRPr="005262A0" w:rsidRDefault="00C06194" w:rsidP="005262A0">
      <w:pPr>
        <w:spacing w:line="360" w:lineRule="auto"/>
        <w:ind w:left="2880" w:firstLine="720"/>
        <w:rPr>
          <w:rFonts w:ascii="Arial" w:hAnsi="Arial" w:cs="Arial"/>
          <w:b/>
          <w:i/>
          <w:sz w:val="28"/>
          <w:szCs w:val="28"/>
        </w:rPr>
      </w:pPr>
      <w:r w:rsidRPr="006E33E1">
        <w:rPr>
          <w:rFonts w:ascii="Arial" w:hAnsi="Arial" w:cs="Arial"/>
          <w:bCs/>
          <w:i/>
          <w:color w:val="7F7F7F" w:themeColor="text1" w:themeTint="80"/>
          <w:sz w:val="28"/>
          <w:szCs w:val="28"/>
        </w:rPr>
        <w:t>Pam White (pamela.white@ahs.ca)</w:t>
      </w:r>
    </w:p>
    <w:p w14:paraId="7CEB7CCD" w14:textId="76CEEF2E" w:rsidR="005C185C" w:rsidRDefault="005C185C" w:rsidP="00F46CB8">
      <w:pPr>
        <w:rPr>
          <w:rFonts w:ascii="Arial" w:hAnsi="Arial" w:cs="Arial"/>
          <w:b/>
          <w:bCs/>
          <w:sz w:val="28"/>
          <w:szCs w:val="28"/>
        </w:rPr>
      </w:pPr>
    </w:p>
    <w:p w14:paraId="7FC5AE0E" w14:textId="7FEB365A" w:rsidR="00F76808" w:rsidRPr="0060311A" w:rsidRDefault="005262A0" w:rsidP="00F46CB8">
      <w:pPr>
        <w:rPr>
          <w:rFonts w:ascii="Arial" w:hAnsi="Arial" w:cs="Arial"/>
          <w:b/>
          <w:bCs/>
          <w:sz w:val="28"/>
          <w:szCs w:val="28"/>
        </w:rPr>
      </w:pPr>
      <w:r w:rsidRPr="0060311A">
        <w:rPr>
          <w:rFonts w:ascii="Arial" w:hAnsi="Arial" w:cs="Arial"/>
          <w:noProof/>
          <w:sz w:val="22"/>
          <w:szCs w:val="22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0739D" wp14:editId="3361DF36">
                <wp:simplePos x="0" y="0"/>
                <wp:positionH relativeFrom="margin">
                  <wp:posOffset>0</wp:posOffset>
                </wp:positionH>
                <wp:positionV relativeFrom="paragraph">
                  <wp:posOffset>645160</wp:posOffset>
                </wp:positionV>
                <wp:extent cx="5672455" cy="3876675"/>
                <wp:effectExtent l="0" t="0" r="2349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20537" w14:textId="7BFAA679" w:rsidR="00286EA1" w:rsidRPr="006E33E1" w:rsidRDefault="00C06194" w:rsidP="00F76808">
                            <w:pPr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 w:rsidRPr="006E33E1"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During the Pediatric GI rotation, residents will complete:</w:t>
                            </w:r>
                          </w:p>
                          <w:p w14:paraId="59D16A17" w14:textId="48E3446C" w:rsidR="00C06194" w:rsidRPr="00763DDC" w:rsidRDefault="00C06194" w:rsidP="00F76808">
                            <w:pPr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63DDC"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  <w:t>1 week of inpatient/consult service</w:t>
                            </w:r>
                          </w:p>
                          <w:p w14:paraId="2532904D" w14:textId="77777777" w:rsidR="00B1284B" w:rsidRDefault="00C06194" w:rsidP="00F76808">
                            <w:pPr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63DDC"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2 weeks of outpatient </w:t>
                            </w:r>
                            <w:r w:rsidR="00B1284B"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service: GI </w:t>
                            </w:r>
                            <w:r w:rsidR="0011388C" w:rsidRPr="00763DDC"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  <w:t>clinics, endoscopy, education/independent study</w:t>
                            </w:r>
                          </w:p>
                          <w:p w14:paraId="51C4C264" w14:textId="260FAFA7" w:rsidR="00C06194" w:rsidRPr="00763DDC" w:rsidRDefault="00B1284B" w:rsidP="00F76808">
                            <w:pPr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  <w:t>depending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on availability, additional specialty GI clinics in CHIRP, CF can be requested)</w:t>
                            </w:r>
                          </w:p>
                          <w:p w14:paraId="05C53AAD" w14:textId="53178284" w:rsidR="00C06194" w:rsidRPr="00763DDC" w:rsidRDefault="00C06194" w:rsidP="00F76808">
                            <w:pPr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63DDC"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  <w:t>1 week of inpatient/consult service</w:t>
                            </w:r>
                          </w:p>
                          <w:p w14:paraId="54EEE418" w14:textId="42D25B15" w:rsidR="00C06194" w:rsidRPr="006E33E1" w:rsidRDefault="00C06194" w:rsidP="00F76808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6E33E1">
                              <w:rPr>
                                <w:rFonts w:ascii="Calibri" w:eastAsia="Times New Roman" w:hAnsi="Calibri" w:cs="Calibri"/>
                                <w:color w:val="1F4E79"/>
                                <w:sz w:val="20"/>
                                <w:szCs w:val="20"/>
                                <w:shd w:val="clear" w:color="auto" w:fill="FFFFFF"/>
                              </w:rPr>
                              <w:t>There is no call requirement during this rotation</w:t>
                            </w:r>
                          </w:p>
                          <w:p w14:paraId="77BF07FD" w14:textId="128C3940" w:rsidR="00286EA1" w:rsidRPr="006E33E1" w:rsidRDefault="0011388C" w:rsidP="00F7680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6E33E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(If 1 week of vacation to be taken, outpatient service reduced to 1 week)</w:t>
                            </w:r>
                          </w:p>
                          <w:p w14:paraId="76A25C3C" w14:textId="6435D7E8" w:rsidR="00286EA1" w:rsidRDefault="00286EA1" w:rsidP="00F76808"/>
                          <w:p w14:paraId="00A8D30D" w14:textId="76753C6A" w:rsidR="00763DDC" w:rsidRPr="006E33E1" w:rsidRDefault="00763DDC" w:rsidP="00F76808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E33E1">
                              <w:rPr>
                                <w:sz w:val="20"/>
                                <w:szCs w:val="20"/>
                                <w:u w:val="single"/>
                              </w:rPr>
                              <w:t>Learning opportunities/expectations:</w:t>
                            </w:r>
                          </w:p>
                          <w:p w14:paraId="46C5B750" w14:textId="24167D0F" w:rsidR="00B1284B" w:rsidRDefault="00317E2C" w:rsidP="00F768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B1284B">
                              <w:rPr>
                                <w:sz w:val="20"/>
                                <w:szCs w:val="20"/>
                              </w:rPr>
                              <w:t>earning opportunities through clinical exposure</w:t>
                            </w:r>
                            <w:r w:rsidR="008C7D2F">
                              <w:rPr>
                                <w:sz w:val="20"/>
                                <w:szCs w:val="20"/>
                              </w:rPr>
                              <w:t>/care</w:t>
                            </w:r>
                            <w:r w:rsidR="00B1284B">
                              <w:rPr>
                                <w:sz w:val="20"/>
                                <w:szCs w:val="20"/>
                              </w:rPr>
                              <w:t xml:space="preserve"> and collaboration with staff, subspecialty residents and allied health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within our Section will be a primary source of learning.</w:t>
                            </w:r>
                          </w:p>
                          <w:p w14:paraId="0A89BEE6" w14:textId="77777777" w:rsidR="00317E2C" w:rsidRPr="00317E2C" w:rsidRDefault="00317E2C" w:rsidP="00F768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E7891A" w14:textId="343FE9A2" w:rsidR="00B1284B" w:rsidRPr="00317E2C" w:rsidRDefault="00763DDC" w:rsidP="00317E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7E2C">
                              <w:rPr>
                                <w:sz w:val="20"/>
                                <w:szCs w:val="20"/>
                              </w:rPr>
                              <w:t xml:space="preserve">During the </w:t>
                            </w:r>
                            <w:r w:rsidR="00656F4F" w:rsidRPr="00317E2C">
                              <w:rPr>
                                <w:sz w:val="20"/>
                                <w:szCs w:val="20"/>
                              </w:rPr>
                              <w:t>week(s) of outpatient service, the pediatrics resident will be</w:t>
                            </w:r>
                            <w:r w:rsidR="00B84464" w:rsidRPr="00317E2C">
                              <w:rPr>
                                <w:sz w:val="20"/>
                                <w:szCs w:val="20"/>
                              </w:rPr>
                              <w:t xml:space="preserve"> expected to:</w:t>
                            </w:r>
                          </w:p>
                          <w:p w14:paraId="0A9BB83B" w14:textId="4D12F316" w:rsidR="00763DDC" w:rsidRDefault="00B84464" w:rsidP="006E33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Develop </w:t>
                            </w:r>
                            <w:r w:rsidR="00656F4F" w:rsidRPr="006E33E1">
                              <w:rPr>
                                <w:sz w:val="20"/>
                                <w:szCs w:val="20"/>
                              </w:rPr>
                              <w:t>6 “cue cards” describing the approach and pertinent details to 6</w:t>
                            </w:r>
                            <w:r w:rsidR="00B1284B" w:rsidRPr="006E33E1">
                              <w:rPr>
                                <w:sz w:val="20"/>
                                <w:szCs w:val="20"/>
                              </w:rPr>
                              <w:t xml:space="preserve"> core topics</w:t>
                            </w:r>
                            <w:r w:rsidR="00B1284B">
                              <w:rPr>
                                <w:sz w:val="20"/>
                                <w:szCs w:val="20"/>
                              </w:rPr>
                              <w:t>/clinical presentations in pediatric gastroenterology, hepatology, and nutrition</w:t>
                            </w:r>
                          </w:p>
                          <w:p w14:paraId="22A7915D" w14:textId="54DA2F8F" w:rsidR="00B1284B" w:rsidRDefault="00B84464" w:rsidP="006E33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 3 w</w:t>
                            </w:r>
                            <w:r w:rsidR="00B1284B">
                              <w:rPr>
                                <w:sz w:val="20"/>
                                <w:szCs w:val="20"/>
                              </w:rPr>
                              <w:t>ell-cr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afted multiple choice questions</w:t>
                            </w:r>
                            <w:r w:rsidR="00B1284B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 short answer questions</w:t>
                            </w:r>
                            <w:r w:rsidR="00B1284B">
                              <w:rPr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B1284B">
                              <w:rPr>
                                <w:sz w:val="20"/>
                                <w:szCs w:val="20"/>
                              </w:rPr>
                              <w:t>answer key, with respect to an assigned topic/condition in pediatric gastroenterology</w:t>
                            </w:r>
                          </w:p>
                          <w:p w14:paraId="5C6F8E44" w14:textId="77777777" w:rsidR="008C7D2F" w:rsidRPr="008C7D2F" w:rsidRDefault="008C7D2F" w:rsidP="00317E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867A2C" w14:textId="0DC868F7" w:rsidR="00B1284B" w:rsidRPr="00317E2C" w:rsidRDefault="00B1284B" w:rsidP="00317E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7E2C">
                              <w:rPr>
                                <w:sz w:val="20"/>
                                <w:szCs w:val="20"/>
                              </w:rPr>
                              <w:t>During each week of outpatient service, 1-2 hours will be booked with Gary Galante and/or another pediatric gastroenterologist for 1-on-1 education time. During this time, we will:</w:t>
                            </w:r>
                          </w:p>
                          <w:p w14:paraId="0E03AFAD" w14:textId="3E58E3C7" w:rsidR="00B1284B" w:rsidRDefault="00553C69" w:rsidP="006E33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Select 1-2 topics in pediatric GI (prepared by cue card) for knowledge assessment and further education</w:t>
                            </w:r>
                          </w:p>
                          <w:p w14:paraId="73271B56" w14:textId="0A7A68A1" w:rsidR="00553C69" w:rsidRDefault="00553C69" w:rsidP="006E33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Review MCQ and SAQ items with feedback on content and quality of item generation</w:t>
                            </w:r>
                          </w:p>
                          <w:p w14:paraId="150CA974" w14:textId="47694549" w:rsidR="00553C69" w:rsidRPr="006E33E1" w:rsidRDefault="00553C69" w:rsidP="006E33E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 other topics of interest through active/case-based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D107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0.8pt;width:446.65pt;height:30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">
                <v:textbox>
                  <w:txbxContent>
                    <w:p w14:paraId="78F20537" w14:textId="7BFAA679" w:rsidR="00286EA1" w:rsidRPr="006E33E1" w:rsidRDefault="00C06194" w:rsidP="00F76808">
                      <w:pPr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 w:rsidRPr="006E33E1"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During the Pediatric GI rotation, residents will complete:</w:t>
                      </w:r>
                    </w:p>
                    <w:p w14:paraId="59D16A17" w14:textId="48E3446C" w:rsidR="00C06194" w:rsidRPr="00763DDC" w:rsidRDefault="00C06194" w:rsidP="00F76808">
                      <w:pPr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63DDC"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  <w:t>1 week of inpatient/consult service</w:t>
                      </w:r>
                    </w:p>
                    <w:p w14:paraId="2532904D" w14:textId="77777777" w:rsidR="00B1284B" w:rsidRDefault="00C06194" w:rsidP="00F76808">
                      <w:pPr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63DDC"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  <w:t xml:space="preserve">2 weeks of outpatient </w:t>
                      </w:r>
                      <w:r w:rsidR="00B1284B"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  <w:t xml:space="preserve">service: GI </w:t>
                      </w:r>
                      <w:r w:rsidR="0011388C" w:rsidRPr="00763DDC"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  <w:t>clinics, endoscopy, education/independent study</w:t>
                      </w:r>
                    </w:p>
                    <w:p w14:paraId="51C4C264" w14:textId="260FAFA7" w:rsidR="00C06194" w:rsidRPr="00763DDC" w:rsidRDefault="00B1284B" w:rsidP="00F76808">
                      <w:pPr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proofErr w:type="gramStart"/>
                      <w:r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  <w:t>depending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  <w:t xml:space="preserve"> on availability, additional specialty GI clinics in CHIRP, CF can be requested)</w:t>
                      </w:r>
                    </w:p>
                    <w:p w14:paraId="05C53AAD" w14:textId="53178284" w:rsidR="00C06194" w:rsidRPr="00763DDC" w:rsidRDefault="00C06194" w:rsidP="00F76808">
                      <w:pPr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63DDC"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  <w:t>1 week of inpatient/consult service</w:t>
                      </w:r>
                    </w:p>
                    <w:p w14:paraId="54EEE418" w14:textId="42D25B15" w:rsidR="00C06194" w:rsidRPr="006E33E1" w:rsidRDefault="00C06194" w:rsidP="00F76808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6E33E1">
                        <w:rPr>
                          <w:rFonts w:ascii="Calibri" w:eastAsia="Times New Roman" w:hAnsi="Calibri" w:cs="Calibri"/>
                          <w:color w:val="1F4E79"/>
                          <w:sz w:val="20"/>
                          <w:szCs w:val="20"/>
                          <w:shd w:val="clear" w:color="auto" w:fill="FFFFFF"/>
                        </w:rPr>
                        <w:t>There is no call requirement during this rotation</w:t>
                      </w:r>
                    </w:p>
                    <w:p w14:paraId="77BF07FD" w14:textId="128C3940" w:rsidR="00286EA1" w:rsidRPr="006E33E1" w:rsidRDefault="0011388C" w:rsidP="00F76808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6E33E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(If 1 week of vacation to </w:t>
                      </w:r>
                      <w:proofErr w:type="gramStart"/>
                      <w:r w:rsidRPr="006E33E1">
                        <w:rPr>
                          <w:rFonts w:ascii="Calibri" w:hAnsi="Calibri"/>
                          <w:sz w:val="20"/>
                          <w:szCs w:val="20"/>
                        </w:rPr>
                        <w:t>be taken</w:t>
                      </w:r>
                      <w:proofErr w:type="gramEnd"/>
                      <w:r w:rsidRPr="006E33E1">
                        <w:rPr>
                          <w:rFonts w:ascii="Calibri" w:hAnsi="Calibri"/>
                          <w:sz w:val="20"/>
                          <w:szCs w:val="20"/>
                        </w:rPr>
                        <w:t>, outpatient service reduced to 1 week)</w:t>
                      </w:r>
                    </w:p>
                    <w:p w14:paraId="76A25C3C" w14:textId="6435D7E8" w:rsidR="00286EA1" w:rsidRDefault="00286EA1" w:rsidP="00F76808"/>
                    <w:p w14:paraId="00A8D30D" w14:textId="76753C6A" w:rsidR="00763DDC" w:rsidRPr="006E33E1" w:rsidRDefault="00763DDC" w:rsidP="00F76808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E33E1">
                        <w:rPr>
                          <w:sz w:val="20"/>
                          <w:szCs w:val="20"/>
                          <w:u w:val="single"/>
                        </w:rPr>
                        <w:t>Learning opportunities/expectations:</w:t>
                      </w:r>
                    </w:p>
                    <w:p w14:paraId="46C5B750" w14:textId="24167D0F" w:rsidR="00B1284B" w:rsidRDefault="00317E2C" w:rsidP="00F768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="00B1284B">
                        <w:rPr>
                          <w:sz w:val="20"/>
                          <w:szCs w:val="20"/>
                        </w:rPr>
                        <w:t>earning opportunities through clinical exposure</w:t>
                      </w:r>
                      <w:r w:rsidR="008C7D2F">
                        <w:rPr>
                          <w:sz w:val="20"/>
                          <w:szCs w:val="20"/>
                        </w:rPr>
                        <w:t>/care</w:t>
                      </w:r>
                      <w:r w:rsidR="00B1284B">
                        <w:rPr>
                          <w:sz w:val="20"/>
                          <w:szCs w:val="20"/>
                        </w:rPr>
                        <w:t xml:space="preserve"> and collaboration with staff, subspecialty residents and allied health</w:t>
                      </w:r>
                      <w:r>
                        <w:rPr>
                          <w:sz w:val="20"/>
                          <w:szCs w:val="20"/>
                        </w:rPr>
                        <w:t xml:space="preserve"> within our Section will be a primary source of learning.</w:t>
                      </w:r>
                    </w:p>
                    <w:p w14:paraId="0A89BEE6" w14:textId="77777777" w:rsidR="00317E2C" w:rsidRPr="00317E2C" w:rsidRDefault="00317E2C" w:rsidP="00F7680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E7891A" w14:textId="343FE9A2" w:rsidR="00B1284B" w:rsidRPr="00317E2C" w:rsidRDefault="00763DDC" w:rsidP="00317E2C">
                      <w:pPr>
                        <w:rPr>
                          <w:sz w:val="20"/>
                          <w:szCs w:val="20"/>
                        </w:rPr>
                      </w:pPr>
                      <w:r w:rsidRPr="00317E2C">
                        <w:rPr>
                          <w:sz w:val="20"/>
                          <w:szCs w:val="20"/>
                        </w:rPr>
                        <w:t xml:space="preserve">During the </w:t>
                      </w:r>
                      <w:r w:rsidR="00656F4F" w:rsidRPr="00317E2C">
                        <w:rPr>
                          <w:sz w:val="20"/>
                          <w:szCs w:val="20"/>
                        </w:rPr>
                        <w:t xml:space="preserve">week(s) of outpatient service, the pediatrics resident </w:t>
                      </w:r>
                      <w:proofErr w:type="gramStart"/>
                      <w:r w:rsidR="00656F4F" w:rsidRPr="00317E2C">
                        <w:rPr>
                          <w:sz w:val="20"/>
                          <w:szCs w:val="20"/>
                        </w:rPr>
                        <w:t>will be</w:t>
                      </w:r>
                      <w:r w:rsidR="00B84464" w:rsidRPr="00317E2C">
                        <w:rPr>
                          <w:sz w:val="20"/>
                          <w:szCs w:val="20"/>
                        </w:rPr>
                        <w:t xml:space="preserve"> expected</w:t>
                      </w:r>
                      <w:proofErr w:type="gramEnd"/>
                      <w:r w:rsidR="00B84464" w:rsidRPr="00317E2C">
                        <w:rPr>
                          <w:sz w:val="20"/>
                          <w:szCs w:val="20"/>
                        </w:rPr>
                        <w:t xml:space="preserve"> to:</w:t>
                      </w:r>
                    </w:p>
                    <w:p w14:paraId="0A9BB83B" w14:textId="4D12F316" w:rsidR="00763DDC" w:rsidRDefault="00B84464" w:rsidP="006E33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Develop </w:t>
                      </w:r>
                      <w:r w:rsidR="00656F4F" w:rsidRPr="006E33E1">
                        <w:rPr>
                          <w:sz w:val="20"/>
                          <w:szCs w:val="20"/>
                        </w:rPr>
                        <w:t>6 “cue cards” describing the approach and pertinent details to 6</w:t>
                      </w:r>
                      <w:r w:rsidR="00B1284B" w:rsidRPr="006E33E1">
                        <w:rPr>
                          <w:sz w:val="20"/>
                          <w:szCs w:val="20"/>
                        </w:rPr>
                        <w:t xml:space="preserve"> core topics</w:t>
                      </w:r>
                      <w:r w:rsidR="00B1284B">
                        <w:rPr>
                          <w:sz w:val="20"/>
                          <w:szCs w:val="20"/>
                        </w:rPr>
                        <w:t xml:space="preserve">/clinical presentations in pediatric gastroenterology, </w:t>
                      </w:r>
                      <w:proofErr w:type="spellStart"/>
                      <w:r w:rsidR="00B1284B">
                        <w:rPr>
                          <w:sz w:val="20"/>
                          <w:szCs w:val="20"/>
                        </w:rPr>
                        <w:t>hepatology</w:t>
                      </w:r>
                      <w:proofErr w:type="spellEnd"/>
                      <w:r w:rsidR="00B1284B">
                        <w:rPr>
                          <w:sz w:val="20"/>
                          <w:szCs w:val="20"/>
                        </w:rPr>
                        <w:t>, and nutrition</w:t>
                      </w:r>
                    </w:p>
                    <w:p w14:paraId="22A7915D" w14:textId="54DA2F8F" w:rsidR="00B1284B" w:rsidRDefault="00B84464" w:rsidP="006E33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 3 w</w:t>
                      </w:r>
                      <w:r w:rsidR="00B1284B">
                        <w:rPr>
                          <w:sz w:val="20"/>
                          <w:szCs w:val="20"/>
                        </w:rPr>
                        <w:t>ell-cr</w:t>
                      </w:r>
                      <w:r>
                        <w:rPr>
                          <w:sz w:val="20"/>
                          <w:szCs w:val="20"/>
                        </w:rPr>
                        <w:t>afted multiple choice questions</w:t>
                      </w:r>
                      <w:r w:rsidR="00B1284B">
                        <w:rPr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sz w:val="20"/>
                          <w:szCs w:val="20"/>
                        </w:rPr>
                        <w:t>2 short answer questions</w:t>
                      </w:r>
                      <w:r w:rsidR="00B1284B">
                        <w:rPr>
                          <w:sz w:val="20"/>
                          <w:szCs w:val="20"/>
                        </w:rPr>
                        <w:t xml:space="preserve"> with </w:t>
                      </w:r>
                      <w:r>
                        <w:rPr>
                          <w:sz w:val="20"/>
                          <w:szCs w:val="20"/>
                        </w:rPr>
                        <w:t xml:space="preserve">an </w:t>
                      </w:r>
                      <w:r w:rsidR="00B1284B">
                        <w:rPr>
                          <w:sz w:val="20"/>
                          <w:szCs w:val="20"/>
                        </w:rPr>
                        <w:t>answer key, with respect to an assigned topic/condition in pediatric gastroenterology</w:t>
                      </w:r>
                    </w:p>
                    <w:p w14:paraId="5C6F8E44" w14:textId="77777777" w:rsidR="008C7D2F" w:rsidRPr="008C7D2F" w:rsidRDefault="008C7D2F" w:rsidP="00317E2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867A2C" w14:textId="0DC868F7" w:rsidR="00B1284B" w:rsidRPr="00317E2C" w:rsidRDefault="00B1284B" w:rsidP="00317E2C">
                      <w:pPr>
                        <w:rPr>
                          <w:sz w:val="20"/>
                          <w:szCs w:val="20"/>
                        </w:rPr>
                      </w:pPr>
                      <w:r w:rsidRPr="00317E2C">
                        <w:rPr>
                          <w:sz w:val="20"/>
                          <w:szCs w:val="20"/>
                        </w:rPr>
                        <w:t>During each week of outpatient service, 1-2 hours will be booked with Gary Galante and/or another pediatric gastroenterologist for 1-on-1 education time. During this time, we will:</w:t>
                      </w:r>
                    </w:p>
                    <w:p w14:paraId="0E03AFAD" w14:textId="3E58E3C7" w:rsidR="00B1284B" w:rsidRDefault="00553C69" w:rsidP="006E33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Select 1-2 topics in pediatric GI (prepared by cue card) for knowledge assessment and further education</w:t>
                      </w:r>
                    </w:p>
                    <w:p w14:paraId="73271B56" w14:textId="0A7A68A1" w:rsidR="00553C69" w:rsidRDefault="00553C69" w:rsidP="006E33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Review MCQ and SAQ items with feedback on content and quality of item generation</w:t>
                      </w:r>
                    </w:p>
                    <w:p w14:paraId="150CA974" w14:textId="47694549" w:rsidR="00553C69" w:rsidRPr="006E33E1" w:rsidRDefault="00553C69" w:rsidP="006E33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 other topics of interest through active/case-based learning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808" w:rsidRPr="0060311A">
        <w:rPr>
          <w:rFonts w:ascii="Arial" w:hAnsi="Arial" w:cs="Arial"/>
          <w:b/>
          <w:bCs/>
          <w:sz w:val="28"/>
          <w:szCs w:val="28"/>
        </w:rPr>
        <w:t>Focus of this rotation</w:t>
      </w:r>
      <w:r w:rsidR="007C2D95" w:rsidRPr="0060311A">
        <w:rPr>
          <w:rFonts w:ascii="Arial" w:hAnsi="Arial" w:cs="Arial"/>
          <w:b/>
          <w:bCs/>
          <w:sz w:val="28"/>
          <w:szCs w:val="28"/>
        </w:rPr>
        <w:t>:</w:t>
      </w:r>
      <w:r w:rsidR="00D62D47" w:rsidRPr="0060311A">
        <w:rPr>
          <w:rFonts w:ascii="Arial" w:hAnsi="Arial" w:cs="Arial"/>
          <w:b/>
          <w:bCs/>
          <w:sz w:val="28"/>
          <w:szCs w:val="28"/>
        </w:rPr>
        <w:t xml:space="preserve"> </w:t>
      </w:r>
      <w:r w:rsidR="00D62D47" w:rsidRPr="0060311A">
        <w:rPr>
          <w:rFonts w:ascii="Arial" w:hAnsi="Arial" w:cs="Arial"/>
          <w:bCs/>
          <w:i/>
          <w:sz w:val="20"/>
          <w:szCs w:val="28"/>
        </w:rPr>
        <w:t>(Short summary highlighting key experiences and learning opportunities</w:t>
      </w:r>
      <w:r w:rsidR="00BA1C39" w:rsidRPr="0060311A">
        <w:rPr>
          <w:rFonts w:ascii="Arial" w:hAnsi="Arial" w:cs="Arial"/>
          <w:bCs/>
          <w:i/>
          <w:sz w:val="20"/>
          <w:szCs w:val="28"/>
        </w:rPr>
        <w:t>; inpatient/outpatient, call requirements, if multiple rotations the details should be different for each rotation/level of training and aligned with EPA’s</w:t>
      </w:r>
      <w:r w:rsidR="00D62D47" w:rsidRPr="0060311A">
        <w:rPr>
          <w:rFonts w:ascii="Arial" w:hAnsi="Arial" w:cs="Arial"/>
          <w:bCs/>
          <w:i/>
          <w:sz w:val="20"/>
          <w:szCs w:val="28"/>
        </w:rPr>
        <w:t>)</w:t>
      </w:r>
    </w:p>
    <w:p w14:paraId="6BAEE83F" w14:textId="77777777" w:rsidR="005C185C" w:rsidRDefault="005C185C" w:rsidP="00916B1D">
      <w:pPr>
        <w:rPr>
          <w:rFonts w:ascii="Arial" w:hAnsi="Arial" w:cs="Arial"/>
          <w:b/>
          <w:sz w:val="22"/>
          <w:szCs w:val="22"/>
          <w:u w:val="thick"/>
        </w:rPr>
      </w:pPr>
    </w:p>
    <w:p w14:paraId="0A2C950A" w14:textId="77777777" w:rsidR="005C185C" w:rsidRDefault="005C185C" w:rsidP="00916B1D">
      <w:pPr>
        <w:rPr>
          <w:rFonts w:ascii="Arial" w:hAnsi="Arial" w:cs="Arial"/>
          <w:b/>
          <w:sz w:val="22"/>
          <w:szCs w:val="22"/>
          <w:u w:val="thick"/>
        </w:rPr>
      </w:pPr>
    </w:p>
    <w:p w14:paraId="30695618" w14:textId="3010A8E8" w:rsidR="00111FC3" w:rsidRPr="0060311A" w:rsidRDefault="00111FC3" w:rsidP="00916B1D">
      <w:pPr>
        <w:rPr>
          <w:rFonts w:ascii="Arial" w:hAnsi="Arial" w:cs="Arial"/>
          <w:b/>
          <w:sz w:val="22"/>
          <w:szCs w:val="22"/>
          <w:u w:val="thick"/>
        </w:rPr>
      </w:pPr>
      <w:r w:rsidRPr="0060311A">
        <w:rPr>
          <w:rFonts w:ascii="Arial" w:hAnsi="Arial" w:cs="Arial"/>
          <w:b/>
          <w:sz w:val="22"/>
          <w:szCs w:val="22"/>
          <w:u w:val="thick"/>
        </w:rPr>
        <w:t>EPA’s Mapped to this rotation include</w:t>
      </w:r>
      <w:r w:rsidR="00F515C8" w:rsidRPr="0060311A">
        <w:rPr>
          <w:rFonts w:ascii="Arial" w:hAnsi="Arial" w:cs="Arial"/>
          <w:b/>
          <w:sz w:val="22"/>
          <w:szCs w:val="22"/>
          <w:u w:val="thick"/>
        </w:rPr>
        <w:t xml:space="preserve"> </w:t>
      </w:r>
      <w:r w:rsidR="00F515C8" w:rsidRPr="0060311A">
        <w:rPr>
          <w:rFonts w:ascii="Arial" w:hAnsi="Arial" w:cs="Arial"/>
          <w:b/>
          <w:i/>
          <w:sz w:val="22"/>
          <w:szCs w:val="22"/>
          <w:u w:val="thick"/>
        </w:rPr>
        <w:t>(program to do)</w:t>
      </w:r>
      <w:r w:rsidRPr="0060311A">
        <w:rPr>
          <w:rFonts w:ascii="Arial" w:hAnsi="Arial" w:cs="Arial"/>
          <w:b/>
          <w:i/>
          <w:sz w:val="22"/>
          <w:szCs w:val="22"/>
          <w:u w:val="thick"/>
        </w:rPr>
        <w:t>:</w:t>
      </w:r>
      <w:r w:rsidRPr="0060311A">
        <w:rPr>
          <w:rFonts w:ascii="Arial" w:hAnsi="Arial" w:cs="Arial"/>
          <w:b/>
          <w:sz w:val="22"/>
          <w:szCs w:val="22"/>
          <w:u w:val="thick"/>
        </w:rPr>
        <w:t xml:space="preserve"> </w:t>
      </w:r>
    </w:p>
    <w:p w14:paraId="0302266A" w14:textId="77777777" w:rsidR="00111FC3" w:rsidRPr="0060311A" w:rsidRDefault="00111FC3" w:rsidP="00916B1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5444"/>
        <w:gridCol w:w="1842"/>
      </w:tblGrid>
      <w:tr w:rsidR="00ED65D3" w:rsidRPr="0060311A" w14:paraId="0EB30D79" w14:textId="77777777" w:rsidTr="00BE1B3E">
        <w:tc>
          <w:tcPr>
            <w:tcW w:w="2064" w:type="dxa"/>
            <w:vAlign w:val="center"/>
          </w:tcPr>
          <w:p w14:paraId="240CFECC" w14:textId="70E32499" w:rsidR="00EA71FB" w:rsidRPr="0060311A" w:rsidRDefault="00261FF0" w:rsidP="0060311A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0311A">
              <w:rPr>
                <w:rFonts w:ascii="Arial" w:hAnsi="Arial" w:cs="Arial"/>
                <w:color w:val="0070C0"/>
                <w:sz w:val="22"/>
                <w:szCs w:val="22"/>
              </w:rPr>
              <w:t>EPA/Stage</w:t>
            </w:r>
          </w:p>
        </w:tc>
        <w:tc>
          <w:tcPr>
            <w:tcW w:w="5444" w:type="dxa"/>
            <w:vAlign w:val="center"/>
          </w:tcPr>
          <w:p w14:paraId="2197A044" w14:textId="54FFEFCD" w:rsidR="00EA71FB" w:rsidRPr="0060311A" w:rsidRDefault="00EA71FB" w:rsidP="0060311A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0311A">
              <w:rPr>
                <w:rFonts w:ascii="Arial" w:hAnsi="Arial" w:cs="Arial"/>
                <w:color w:val="0070C0"/>
                <w:sz w:val="22"/>
                <w:szCs w:val="22"/>
              </w:rPr>
              <w:t>EPA</w:t>
            </w:r>
            <w:r w:rsidR="00261FF0" w:rsidRPr="0060311A">
              <w:rPr>
                <w:rFonts w:ascii="Arial" w:hAnsi="Arial" w:cs="Arial"/>
                <w:color w:val="0070C0"/>
                <w:sz w:val="22"/>
                <w:szCs w:val="22"/>
              </w:rPr>
              <w:t xml:space="preserve"> Details</w:t>
            </w:r>
          </w:p>
        </w:tc>
        <w:tc>
          <w:tcPr>
            <w:tcW w:w="1842" w:type="dxa"/>
            <w:vAlign w:val="center"/>
          </w:tcPr>
          <w:p w14:paraId="0B3B9243" w14:textId="0766C81E" w:rsidR="0060311A" w:rsidRPr="0060311A" w:rsidRDefault="007159A7" w:rsidP="0060311A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0311A">
              <w:rPr>
                <w:rFonts w:ascii="Arial" w:hAnsi="Arial" w:cs="Arial"/>
                <w:color w:val="0070C0"/>
                <w:sz w:val="22"/>
                <w:szCs w:val="22"/>
              </w:rPr>
              <w:t>Curriculum Map</w:t>
            </w:r>
          </w:p>
          <w:p w14:paraId="50EC2778" w14:textId="7E7936E3" w:rsidR="00EA71FB" w:rsidRPr="0060311A" w:rsidRDefault="00F515C8" w:rsidP="0060311A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0311A">
              <w:rPr>
                <w:rFonts w:ascii="Arial" w:hAnsi="Arial" w:cs="Arial"/>
                <w:color w:val="0070C0"/>
                <w:sz w:val="22"/>
                <w:szCs w:val="22"/>
              </w:rPr>
              <w:t>(Must vs Possible)</w:t>
            </w:r>
          </w:p>
        </w:tc>
      </w:tr>
      <w:tr w:rsidR="00ED65D3" w:rsidRPr="0060311A" w14:paraId="5456B4AC" w14:textId="77777777" w:rsidTr="00BE1B3E">
        <w:tc>
          <w:tcPr>
            <w:tcW w:w="2064" w:type="dxa"/>
          </w:tcPr>
          <w:p w14:paraId="06189D7F" w14:textId="35D4ED27" w:rsidR="00EA71FB" w:rsidRPr="0060311A" w:rsidRDefault="005262A0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TTD #1</w:t>
            </w:r>
          </w:p>
        </w:tc>
        <w:tc>
          <w:tcPr>
            <w:tcW w:w="5444" w:type="dxa"/>
          </w:tcPr>
          <w:p w14:paraId="795ED000" w14:textId="3E7C9F0F" w:rsidR="00EA71FB" w:rsidRPr="005262A0" w:rsidRDefault="005262A0" w:rsidP="0091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Performing  and presenting a basic history and physical examination</w:t>
            </w:r>
          </w:p>
        </w:tc>
        <w:tc>
          <w:tcPr>
            <w:tcW w:w="1842" w:type="dxa"/>
          </w:tcPr>
          <w:p w14:paraId="455E790D" w14:textId="3DEDEC3D" w:rsidR="00EA71FB" w:rsidRPr="0060311A" w:rsidRDefault="005262A0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ED65D3" w:rsidRPr="0060311A" w14:paraId="68F891CA" w14:textId="77777777" w:rsidTr="00BE1B3E">
        <w:tc>
          <w:tcPr>
            <w:tcW w:w="2064" w:type="dxa"/>
          </w:tcPr>
          <w:p w14:paraId="1D5E193B" w14:textId="3B9AA388" w:rsidR="00EA71FB" w:rsidRPr="0060311A" w:rsidRDefault="005262A0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TTD #2</w:t>
            </w:r>
          </w:p>
        </w:tc>
        <w:tc>
          <w:tcPr>
            <w:tcW w:w="5444" w:type="dxa"/>
          </w:tcPr>
          <w:p w14:paraId="3DFAB1BE" w14:textId="3AAA9A4A" w:rsidR="00EA71FB" w:rsidRPr="005262A0" w:rsidRDefault="005262A0" w:rsidP="0091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Documenting orders for pediatric patients</w:t>
            </w:r>
          </w:p>
        </w:tc>
        <w:tc>
          <w:tcPr>
            <w:tcW w:w="1842" w:type="dxa"/>
          </w:tcPr>
          <w:p w14:paraId="5581A089" w14:textId="6B8CB474" w:rsidR="00EA71FB" w:rsidRPr="0060311A" w:rsidRDefault="005262A0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ED65D3" w:rsidRPr="0060311A" w14:paraId="08919AC4" w14:textId="77777777" w:rsidTr="00BE1B3E">
        <w:tc>
          <w:tcPr>
            <w:tcW w:w="2064" w:type="dxa"/>
          </w:tcPr>
          <w:p w14:paraId="22FDF369" w14:textId="001D1312" w:rsidR="00EA71FB" w:rsidRPr="0060311A" w:rsidRDefault="005262A0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#1</w:t>
            </w:r>
          </w:p>
        </w:tc>
        <w:tc>
          <w:tcPr>
            <w:tcW w:w="5444" w:type="dxa"/>
          </w:tcPr>
          <w:p w14:paraId="036FD4BF" w14:textId="3D4EC6A5" w:rsidR="00EA71FB" w:rsidRPr="005262A0" w:rsidRDefault="005262A0" w:rsidP="0091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Recognizing deteriorating and/or critically ill patients and initiating stabilization and management</w:t>
            </w:r>
          </w:p>
        </w:tc>
        <w:tc>
          <w:tcPr>
            <w:tcW w:w="1842" w:type="dxa"/>
          </w:tcPr>
          <w:p w14:paraId="74414F71" w14:textId="12276CF4" w:rsidR="00EA71FB" w:rsidRPr="0060311A" w:rsidRDefault="005262A0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ED65D3" w:rsidRPr="0060311A" w14:paraId="249A1C12" w14:textId="77777777" w:rsidTr="00BE1B3E">
        <w:tc>
          <w:tcPr>
            <w:tcW w:w="2064" w:type="dxa"/>
          </w:tcPr>
          <w:p w14:paraId="54EAF64B" w14:textId="43058EF0" w:rsidR="00EA71FB" w:rsidRPr="0060311A" w:rsidRDefault="005262A0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#</w:t>
            </w:r>
            <w:r w:rsidR="00BE1B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44" w:type="dxa"/>
          </w:tcPr>
          <w:p w14:paraId="54F771B6" w14:textId="67FB38E0" w:rsidR="00EA71FB" w:rsidRPr="005262A0" w:rsidRDefault="005262A0" w:rsidP="0091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Assessing, diagnosing, and initiating management for newborns with common problems</w:t>
            </w:r>
          </w:p>
        </w:tc>
        <w:tc>
          <w:tcPr>
            <w:tcW w:w="1842" w:type="dxa"/>
          </w:tcPr>
          <w:p w14:paraId="33D2447C" w14:textId="2BC1E070" w:rsidR="00EA71FB" w:rsidRPr="0060311A" w:rsidRDefault="005262A0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5262A0" w:rsidRPr="0060311A" w14:paraId="070D3A56" w14:textId="77777777" w:rsidTr="00BE1B3E">
        <w:tc>
          <w:tcPr>
            <w:tcW w:w="2064" w:type="dxa"/>
          </w:tcPr>
          <w:p w14:paraId="1277E9A9" w14:textId="3D1083C0" w:rsidR="005262A0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#5</w:t>
            </w:r>
          </w:p>
        </w:tc>
        <w:tc>
          <w:tcPr>
            <w:tcW w:w="5444" w:type="dxa"/>
          </w:tcPr>
          <w:p w14:paraId="1D4BC02E" w14:textId="5B78A25D" w:rsidR="005262A0" w:rsidRDefault="00BE1B3E" w:rsidP="00BE1B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Assessing, diagnosing, and managing patients with common pediatric problems</w:t>
            </w:r>
          </w:p>
        </w:tc>
        <w:tc>
          <w:tcPr>
            <w:tcW w:w="1842" w:type="dxa"/>
          </w:tcPr>
          <w:p w14:paraId="7E1858A2" w14:textId="3D9B2DBF" w:rsidR="005262A0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5262A0" w:rsidRPr="0060311A" w14:paraId="50A01D66" w14:textId="77777777" w:rsidTr="00BE1B3E">
        <w:tc>
          <w:tcPr>
            <w:tcW w:w="2064" w:type="dxa"/>
          </w:tcPr>
          <w:p w14:paraId="4DAE6AE1" w14:textId="18564393" w:rsidR="005262A0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#6</w:t>
            </w:r>
          </w:p>
        </w:tc>
        <w:tc>
          <w:tcPr>
            <w:tcW w:w="5444" w:type="dxa"/>
          </w:tcPr>
          <w:p w14:paraId="374725DC" w14:textId="33B9B5A2" w:rsidR="005262A0" w:rsidRDefault="00BE1B3E" w:rsidP="0091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Providing primary and secondary preventive health care</w:t>
            </w:r>
          </w:p>
        </w:tc>
        <w:tc>
          <w:tcPr>
            <w:tcW w:w="1842" w:type="dxa"/>
          </w:tcPr>
          <w:p w14:paraId="3F8446E2" w14:textId="7679EA28" w:rsidR="005262A0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5262A0" w:rsidRPr="0060311A" w14:paraId="074DA7F2" w14:textId="77777777" w:rsidTr="00BE1B3E">
        <w:tc>
          <w:tcPr>
            <w:tcW w:w="2064" w:type="dxa"/>
          </w:tcPr>
          <w:p w14:paraId="3D575763" w14:textId="013F6FE4" w:rsidR="005262A0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#8</w:t>
            </w:r>
          </w:p>
        </w:tc>
        <w:tc>
          <w:tcPr>
            <w:tcW w:w="5444" w:type="dxa"/>
          </w:tcPr>
          <w:p w14:paraId="5AC045C8" w14:textId="098555AA" w:rsidR="005262A0" w:rsidRDefault="00BE1B3E" w:rsidP="0091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Communicating assessment findings and management plans to patients and/or families</w:t>
            </w:r>
          </w:p>
        </w:tc>
        <w:tc>
          <w:tcPr>
            <w:tcW w:w="1842" w:type="dxa"/>
          </w:tcPr>
          <w:p w14:paraId="1D41FB2D" w14:textId="5B341DD1" w:rsidR="005262A0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BE1B3E" w:rsidRPr="0060311A" w14:paraId="2ECA8BF1" w14:textId="77777777" w:rsidTr="00BE1B3E">
        <w:tc>
          <w:tcPr>
            <w:tcW w:w="2064" w:type="dxa"/>
          </w:tcPr>
          <w:p w14:paraId="173F5B70" w14:textId="2B73E8D1" w:rsidR="00BE1B3E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#9</w:t>
            </w:r>
          </w:p>
        </w:tc>
        <w:tc>
          <w:tcPr>
            <w:tcW w:w="5444" w:type="dxa"/>
          </w:tcPr>
          <w:p w14:paraId="74A38BD6" w14:textId="5F11E3D4" w:rsidR="00BE1B3E" w:rsidRDefault="00BE1B3E" w:rsidP="0091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Documenting clinical encounters</w:t>
            </w:r>
          </w:p>
        </w:tc>
        <w:tc>
          <w:tcPr>
            <w:tcW w:w="1842" w:type="dxa"/>
          </w:tcPr>
          <w:p w14:paraId="41387AC4" w14:textId="3B63C8DC" w:rsidR="00BE1B3E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BE1B3E" w:rsidRPr="0060311A" w14:paraId="7EB21562" w14:textId="77777777" w:rsidTr="00BE1B3E">
        <w:tc>
          <w:tcPr>
            <w:tcW w:w="2064" w:type="dxa"/>
          </w:tcPr>
          <w:p w14:paraId="100B581C" w14:textId="462E05BB" w:rsidR="00BE1B3E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#10</w:t>
            </w:r>
          </w:p>
        </w:tc>
        <w:tc>
          <w:tcPr>
            <w:tcW w:w="5444" w:type="dxa"/>
          </w:tcPr>
          <w:p w14:paraId="1E3FE511" w14:textId="120D1037" w:rsidR="00BE1B3E" w:rsidRDefault="00BE1B3E" w:rsidP="0091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Transferring clinical information between health care providers during handover</w:t>
            </w:r>
          </w:p>
        </w:tc>
        <w:tc>
          <w:tcPr>
            <w:tcW w:w="1842" w:type="dxa"/>
          </w:tcPr>
          <w:p w14:paraId="14438E2D" w14:textId="5D2A9826" w:rsidR="00BE1B3E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BE1B3E" w:rsidRPr="0060311A" w14:paraId="3DF074C7" w14:textId="77777777" w:rsidTr="00BE1B3E">
        <w:tc>
          <w:tcPr>
            <w:tcW w:w="2064" w:type="dxa"/>
          </w:tcPr>
          <w:p w14:paraId="7AB146A3" w14:textId="7C2B5FC5" w:rsidR="00BE1B3E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#11</w:t>
            </w:r>
          </w:p>
        </w:tc>
        <w:tc>
          <w:tcPr>
            <w:tcW w:w="5444" w:type="dxa"/>
          </w:tcPr>
          <w:p w14:paraId="7DEFC59C" w14:textId="18576079" w:rsidR="00BE1B3E" w:rsidRDefault="00BE1B3E" w:rsidP="0091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Coordinating transitions of care for non-complex pediatric patients</w:t>
            </w:r>
          </w:p>
        </w:tc>
        <w:tc>
          <w:tcPr>
            <w:tcW w:w="1842" w:type="dxa"/>
          </w:tcPr>
          <w:p w14:paraId="727CEF2D" w14:textId="6B1CBC40" w:rsidR="00BE1B3E" w:rsidRDefault="00BE1B3E" w:rsidP="00916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</w:tbl>
    <w:p w14:paraId="6D5D6CD3" w14:textId="77777777" w:rsidR="00EA71FB" w:rsidRPr="0060311A" w:rsidRDefault="00EA71FB" w:rsidP="00916B1D">
      <w:pPr>
        <w:rPr>
          <w:rFonts w:ascii="Arial" w:hAnsi="Arial" w:cs="Arial"/>
          <w:sz w:val="22"/>
          <w:szCs w:val="22"/>
        </w:rPr>
      </w:pPr>
    </w:p>
    <w:p w14:paraId="08E31BB9" w14:textId="0BAB3697" w:rsidR="00805996" w:rsidRPr="0060311A" w:rsidRDefault="00805996" w:rsidP="00805996">
      <w:pPr>
        <w:keepNext/>
        <w:ind w:left="360"/>
        <w:rPr>
          <w:rFonts w:ascii="Arial" w:hAnsi="Arial" w:cs="Arial"/>
          <w:b/>
          <w:color w:val="ED7D31" w:themeColor="accent2"/>
          <w:sz w:val="22"/>
          <w:szCs w:val="22"/>
        </w:rPr>
      </w:pPr>
      <w:r w:rsidRPr="0060311A">
        <w:rPr>
          <w:rFonts w:ascii="Arial" w:hAnsi="Arial" w:cs="Arial"/>
          <w:b/>
          <w:color w:val="ED7D31" w:themeColor="accent2"/>
          <w:sz w:val="22"/>
          <w:szCs w:val="22"/>
        </w:rPr>
        <w:t xml:space="preserve">**RESIDENTS MUST COMPLETE AS LEAST 2 EPA/WEEK </w:t>
      </w:r>
    </w:p>
    <w:p w14:paraId="425A030A" w14:textId="2F7EF461" w:rsidR="00805996" w:rsidRPr="0060311A" w:rsidRDefault="00805996" w:rsidP="00805996">
      <w:pPr>
        <w:keepNext/>
        <w:ind w:left="360"/>
        <w:rPr>
          <w:rFonts w:ascii="Arial" w:hAnsi="Arial" w:cs="Arial"/>
          <w:i/>
          <w:sz w:val="22"/>
          <w:szCs w:val="22"/>
        </w:rPr>
      </w:pPr>
      <w:r w:rsidRPr="0060311A">
        <w:rPr>
          <w:rFonts w:ascii="Arial" w:hAnsi="Arial" w:cs="Arial"/>
          <w:i/>
          <w:sz w:val="22"/>
          <w:szCs w:val="22"/>
        </w:rPr>
        <w:t xml:space="preserve">(For full list of EPA’s and EPA mapping for General Pediatrics please click here) </w:t>
      </w:r>
    </w:p>
    <w:p w14:paraId="7DCA4834" w14:textId="77777777" w:rsidR="006B025E" w:rsidRPr="0060311A" w:rsidRDefault="006B025E" w:rsidP="00916B1D">
      <w:pPr>
        <w:rPr>
          <w:rFonts w:ascii="Arial" w:hAnsi="Arial" w:cs="Arial"/>
          <w:sz w:val="22"/>
          <w:szCs w:val="22"/>
          <w:u w:val="thick"/>
        </w:rPr>
      </w:pPr>
    </w:p>
    <w:p w14:paraId="727F6B2C" w14:textId="0AC560E1" w:rsidR="00BE1B3E" w:rsidRPr="008C7D2F" w:rsidRDefault="00BE1B3E" w:rsidP="00805996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BE1B3E">
        <w:rPr>
          <w:rFonts w:ascii="Arial" w:hAnsi="Arial" w:cs="Arial"/>
          <w:b/>
          <w:sz w:val="22"/>
          <w:szCs w:val="22"/>
          <w:u w:val="single"/>
        </w:rPr>
        <w:lastRenderedPageBreak/>
        <w:t>Plan for ITAR Assessments:</w:t>
      </w:r>
    </w:p>
    <w:p w14:paraId="3B794E9D" w14:textId="77777777" w:rsidR="008C7D2F" w:rsidRDefault="00C06194" w:rsidP="00805996">
      <w:pPr>
        <w:keepNext/>
        <w:rPr>
          <w:rFonts w:ascii="Arial" w:hAnsi="Arial" w:cs="Arial"/>
          <w:bCs/>
          <w:sz w:val="22"/>
          <w:szCs w:val="22"/>
        </w:rPr>
      </w:pPr>
      <w:r w:rsidRPr="006E33E1">
        <w:rPr>
          <w:rFonts w:ascii="Arial" w:hAnsi="Arial" w:cs="Arial"/>
          <w:bCs/>
          <w:sz w:val="22"/>
          <w:szCs w:val="22"/>
        </w:rPr>
        <w:t xml:space="preserve">Two ITARs will be </w:t>
      </w:r>
      <w:r w:rsidR="008C7D2F">
        <w:rPr>
          <w:rFonts w:ascii="Arial" w:hAnsi="Arial" w:cs="Arial"/>
          <w:bCs/>
          <w:sz w:val="22"/>
          <w:szCs w:val="22"/>
        </w:rPr>
        <w:t>completed during the block</w:t>
      </w:r>
    </w:p>
    <w:p w14:paraId="70064332" w14:textId="77777777" w:rsidR="008C7D2F" w:rsidRDefault="008C7D2F" w:rsidP="008C7D2F">
      <w:pPr>
        <w:pStyle w:val="ListParagraph"/>
        <w:keepNext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Inpatient ITAR: to</w:t>
      </w:r>
      <w:r w:rsidR="00C06194" w:rsidRPr="008C7D2F">
        <w:rPr>
          <w:rFonts w:ascii="Arial" w:hAnsi="Arial" w:cs="Arial"/>
          <w:bCs/>
          <w:sz w:val="22"/>
          <w:szCs w:val="22"/>
        </w:rPr>
        <w:t xml:space="preserve"> be </w:t>
      </w:r>
      <w:r w:rsidR="00D02C67" w:rsidRPr="008C7D2F">
        <w:rPr>
          <w:rFonts w:ascii="Arial" w:hAnsi="Arial" w:cs="Arial"/>
          <w:bCs/>
          <w:sz w:val="22"/>
          <w:szCs w:val="22"/>
        </w:rPr>
        <w:t xml:space="preserve">completed by </w:t>
      </w:r>
      <w:r w:rsidR="00C06194" w:rsidRPr="008C7D2F">
        <w:rPr>
          <w:rFonts w:ascii="Arial" w:hAnsi="Arial" w:cs="Arial"/>
          <w:bCs/>
          <w:sz w:val="22"/>
          <w:szCs w:val="22"/>
        </w:rPr>
        <w:t>the staff working with the resident during their last week of service</w:t>
      </w:r>
      <w:r w:rsidR="00D02C67" w:rsidRPr="008C7D2F">
        <w:rPr>
          <w:rFonts w:ascii="Arial" w:hAnsi="Arial" w:cs="Arial"/>
          <w:bCs/>
          <w:sz w:val="22"/>
          <w:szCs w:val="22"/>
        </w:rPr>
        <w:t xml:space="preserve"> (in collaboration</w:t>
      </w:r>
      <w:r w:rsidR="00C06194" w:rsidRPr="008C7D2F">
        <w:rPr>
          <w:rFonts w:ascii="Arial" w:hAnsi="Arial" w:cs="Arial"/>
          <w:bCs/>
          <w:sz w:val="22"/>
          <w:szCs w:val="22"/>
        </w:rPr>
        <w:t xml:space="preserve"> </w:t>
      </w:r>
      <w:r w:rsidR="00D02C67" w:rsidRPr="008C7D2F">
        <w:rPr>
          <w:rFonts w:ascii="Arial" w:hAnsi="Arial" w:cs="Arial"/>
          <w:bCs/>
          <w:sz w:val="22"/>
          <w:szCs w:val="22"/>
        </w:rPr>
        <w:t>with the staff supervising the first week of service),</w:t>
      </w:r>
    </w:p>
    <w:p w14:paraId="76562710" w14:textId="060F8340" w:rsidR="00BE1B3E" w:rsidRPr="008C7D2F" w:rsidRDefault="008C7D2F" w:rsidP="008C7D2F">
      <w:pPr>
        <w:pStyle w:val="ListParagraph"/>
        <w:keepNext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Outpatient ITAR: to be completed by Dr. Galante based on </w:t>
      </w:r>
      <w:r w:rsidR="00C06194" w:rsidRPr="008C7D2F">
        <w:rPr>
          <w:rFonts w:ascii="Arial" w:hAnsi="Arial" w:cs="Arial"/>
          <w:bCs/>
          <w:sz w:val="22"/>
          <w:szCs w:val="22"/>
        </w:rPr>
        <w:t xml:space="preserve">outpatient clinic </w:t>
      </w:r>
      <w:r w:rsidR="00E878A0">
        <w:rPr>
          <w:rFonts w:ascii="Arial" w:hAnsi="Arial" w:cs="Arial"/>
          <w:bCs/>
          <w:sz w:val="22"/>
          <w:szCs w:val="22"/>
        </w:rPr>
        <w:t xml:space="preserve">performance </w:t>
      </w:r>
      <w:r>
        <w:rPr>
          <w:rFonts w:ascii="Arial" w:hAnsi="Arial" w:cs="Arial"/>
          <w:bCs/>
          <w:sz w:val="22"/>
          <w:szCs w:val="22"/>
        </w:rPr>
        <w:t>(f</w:t>
      </w:r>
      <w:r w:rsidRPr="008C7D2F">
        <w:rPr>
          <w:rFonts w:ascii="Arial" w:hAnsi="Arial" w:cs="Arial"/>
          <w:bCs/>
          <w:sz w:val="22"/>
          <w:szCs w:val="22"/>
        </w:rPr>
        <w:t>eedback solicited f</w:t>
      </w:r>
      <w:r>
        <w:rPr>
          <w:rFonts w:ascii="Arial" w:hAnsi="Arial" w:cs="Arial"/>
          <w:bCs/>
          <w:sz w:val="22"/>
          <w:szCs w:val="22"/>
        </w:rPr>
        <w:t>rom outpatient c</w:t>
      </w:r>
      <w:r w:rsidR="00E878A0">
        <w:rPr>
          <w:rFonts w:ascii="Arial" w:hAnsi="Arial" w:cs="Arial"/>
          <w:bCs/>
          <w:sz w:val="22"/>
          <w:szCs w:val="22"/>
        </w:rPr>
        <w:t xml:space="preserve">linic staff), and </w:t>
      </w:r>
      <w:r>
        <w:rPr>
          <w:rFonts w:ascii="Arial" w:hAnsi="Arial" w:cs="Arial"/>
          <w:bCs/>
          <w:sz w:val="22"/>
          <w:szCs w:val="22"/>
        </w:rPr>
        <w:t>self-study</w:t>
      </w:r>
      <w:r w:rsidR="00E878A0">
        <w:rPr>
          <w:rFonts w:ascii="Arial" w:hAnsi="Arial" w:cs="Arial"/>
          <w:bCs/>
          <w:sz w:val="22"/>
          <w:szCs w:val="22"/>
        </w:rPr>
        <w:t xml:space="preserve"> assignments.</w:t>
      </w:r>
    </w:p>
    <w:p w14:paraId="43FB41FA" w14:textId="77777777" w:rsidR="005C185C" w:rsidRDefault="005C185C" w:rsidP="00805996">
      <w:pPr>
        <w:keepNext/>
        <w:rPr>
          <w:rFonts w:ascii="Arial" w:hAnsi="Arial" w:cs="Arial"/>
          <w:b/>
          <w:sz w:val="22"/>
          <w:szCs w:val="22"/>
          <w:u w:val="thick"/>
        </w:rPr>
      </w:pPr>
    </w:p>
    <w:p w14:paraId="4E49680A" w14:textId="670DE646" w:rsidR="00805996" w:rsidRPr="0060311A" w:rsidRDefault="00651E99" w:rsidP="00805996">
      <w:pPr>
        <w:keepNext/>
        <w:rPr>
          <w:rFonts w:ascii="Arial" w:hAnsi="Arial" w:cs="Arial"/>
          <w:i/>
          <w:color w:val="7F7F7F" w:themeColor="text1" w:themeTint="80"/>
          <w:sz w:val="22"/>
          <w:szCs w:val="22"/>
          <w:u w:val="thick"/>
        </w:rPr>
      </w:pPr>
      <w:r w:rsidRPr="006E33E1">
        <w:rPr>
          <w:rFonts w:ascii="Arial" w:hAnsi="Arial" w:cs="Arial"/>
          <w:b/>
          <w:sz w:val="22"/>
          <w:szCs w:val="22"/>
          <w:u w:val="thick"/>
        </w:rPr>
        <w:t>Other educational</w:t>
      </w:r>
      <w:r w:rsidR="00805996" w:rsidRPr="006E33E1">
        <w:rPr>
          <w:rFonts w:ascii="Arial" w:hAnsi="Arial" w:cs="Arial"/>
          <w:b/>
          <w:sz w:val="22"/>
          <w:szCs w:val="22"/>
          <w:u w:val="thick"/>
        </w:rPr>
        <w:t xml:space="preserve"> events mapped to this rotation include</w:t>
      </w:r>
      <w:r w:rsidR="00805996" w:rsidRPr="006E33E1">
        <w:rPr>
          <w:rFonts w:ascii="Arial" w:hAnsi="Arial" w:cs="Arial"/>
          <w:sz w:val="22"/>
          <w:szCs w:val="22"/>
          <w:u w:val="thick"/>
        </w:rPr>
        <w:t>:</w:t>
      </w:r>
      <w:r w:rsidR="00805996" w:rsidRPr="006E33E1">
        <w:rPr>
          <w:rFonts w:ascii="Arial" w:hAnsi="Arial" w:cs="Arial"/>
          <w:sz w:val="22"/>
          <w:szCs w:val="22"/>
        </w:rPr>
        <w:t xml:space="preserve"> </w:t>
      </w:r>
      <w:r w:rsidR="00805996" w:rsidRPr="006E33E1">
        <w:rPr>
          <w:rFonts w:ascii="Arial" w:hAnsi="Arial" w:cs="Arial"/>
          <w:i/>
          <w:color w:val="7F7F7F" w:themeColor="text1" w:themeTint="80"/>
          <w:sz w:val="22"/>
          <w:szCs w:val="22"/>
        </w:rPr>
        <w:t>Ex. Rounds, presentations, Sim</w:t>
      </w:r>
      <w:r w:rsidR="00805996" w:rsidRPr="0060311A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sessions, etc. </w:t>
      </w:r>
    </w:p>
    <w:p w14:paraId="0CF01444" w14:textId="1B47F305" w:rsidR="00805996" w:rsidRPr="0060311A" w:rsidRDefault="005E049D" w:rsidP="00916B1D">
      <w:pPr>
        <w:rPr>
          <w:rFonts w:ascii="Arial" w:hAnsi="Arial" w:cs="Arial"/>
          <w:sz w:val="22"/>
          <w:szCs w:val="22"/>
          <w:u w:val="thick"/>
        </w:rPr>
      </w:pPr>
      <w:r w:rsidRPr="006E33E1">
        <w:rPr>
          <w:rFonts w:ascii="Arial" w:hAnsi="Arial" w:cs="Arial"/>
          <w:noProof/>
          <w:sz w:val="22"/>
          <w:szCs w:val="22"/>
          <w:u w:val="thick"/>
          <w:lang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4D1FF7" wp14:editId="52166D7C">
                <wp:simplePos x="0" y="0"/>
                <wp:positionH relativeFrom="margin">
                  <wp:posOffset>0</wp:posOffset>
                </wp:positionH>
                <wp:positionV relativeFrom="paragraph">
                  <wp:posOffset>225425</wp:posOffset>
                </wp:positionV>
                <wp:extent cx="5672455" cy="3524250"/>
                <wp:effectExtent l="0" t="0" r="2349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46FC6" w14:textId="7E4093E6" w:rsidR="00D02C67" w:rsidRPr="006E33E1" w:rsidRDefault="0034533D" w:rsidP="0080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33E1">
                              <w:rPr>
                                <w:sz w:val="20"/>
                                <w:szCs w:val="20"/>
                              </w:rPr>
                              <w:t>Pediatric Gastroenterology Academic Half-Day running every Friday morning, with case-based learning led by a different staff each week. Additional content may include radiology or pathology rounds, presentations (sometimes in collaboration with</w:t>
                            </w:r>
                            <w:r w:rsidR="00B84464">
                              <w:rPr>
                                <w:sz w:val="20"/>
                                <w:szCs w:val="20"/>
                              </w:rPr>
                              <w:t xml:space="preserve"> General Surgery, other Pediatric Subspecialists,</w:t>
                            </w:r>
                            <w:r w:rsidR="00D02C67" w:rsidRPr="006E33E1">
                              <w:rPr>
                                <w:sz w:val="20"/>
                                <w:szCs w:val="20"/>
                              </w:rPr>
                              <w:t xml:space="preserve"> allied health),</w:t>
                            </w:r>
                            <w:r w:rsidRPr="006E33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2C67" w:rsidRPr="006E33E1">
                              <w:rPr>
                                <w:sz w:val="20"/>
                                <w:szCs w:val="20"/>
                              </w:rPr>
                              <w:t>fellow-l</w:t>
                            </w:r>
                            <w:r w:rsidRPr="006E33E1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 w:rsidR="00D02C67" w:rsidRPr="006E33E1">
                              <w:rPr>
                                <w:sz w:val="20"/>
                                <w:szCs w:val="20"/>
                              </w:rPr>
                              <w:t xml:space="preserve"> review of important guidelines/position statements within the field, and journal club.</w:t>
                            </w:r>
                          </w:p>
                          <w:p w14:paraId="167A6E38" w14:textId="71E32AD0" w:rsidR="00D02C67" w:rsidRPr="006E33E1" w:rsidRDefault="00D02C67" w:rsidP="0080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EE70EA" w14:textId="58F9EE27" w:rsidR="00D02C67" w:rsidRPr="006E33E1" w:rsidRDefault="00D02C67" w:rsidP="0080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33E1">
                              <w:rPr>
                                <w:sz w:val="20"/>
                                <w:szCs w:val="20"/>
                              </w:rPr>
                              <w:t>If residents are interested in presenting at AHD during their rotation (e.g. journal club, presentation, case presentation), they are welcome to do so and can discuss scheduling a time/session at the beginning of their rotation. This is not required, however.</w:t>
                            </w:r>
                          </w:p>
                          <w:p w14:paraId="35759997" w14:textId="7B91F3AB" w:rsidR="00D02C67" w:rsidRPr="006E33E1" w:rsidRDefault="00D02C67" w:rsidP="0080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635C92" w14:textId="497E59C0" w:rsidR="005E049D" w:rsidRDefault="0043382A" w:rsidP="0080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33E1">
                              <w:rPr>
                                <w:sz w:val="20"/>
                                <w:szCs w:val="20"/>
                              </w:rPr>
                              <w:t xml:space="preserve">CHIRP multidisciplinary team rounds (currently via Zoom) occur every Tuesday at 0800-0900 and involve discussion of patients with intestinal failure/short bowel syndrome and their medical/nutritional/surgical management. </w:t>
                            </w:r>
                            <w:r w:rsidR="005E049D" w:rsidRPr="006E33E1">
                              <w:rPr>
                                <w:sz w:val="20"/>
                                <w:szCs w:val="20"/>
                              </w:rPr>
                              <w:t>Interesting case discussion occurs every Friday at 1200-1230 and is when staff/subspecialty residents present challenging and/or unique cases on the inpatient/outpatient service for discussion amongst physicians</w:t>
                            </w:r>
                            <w:r w:rsidR="005E049D">
                              <w:rPr>
                                <w:sz w:val="20"/>
                                <w:szCs w:val="20"/>
                              </w:rPr>
                              <w:t>, residents, and clerks</w:t>
                            </w:r>
                            <w:r w:rsidR="005E049D" w:rsidRPr="006E33E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45FEEF" w14:textId="0B51C4AF" w:rsidR="005E049D" w:rsidRDefault="005E049D" w:rsidP="0080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F32758" w14:textId="660FB021" w:rsidR="005E049D" w:rsidRDefault="005E049D" w:rsidP="0080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interest </w:t>
                            </w:r>
                            <w:r w:rsidR="00B63E67">
                              <w:rPr>
                                <w:sz w:val="20"/>
                                <w:szCs w:val="20"/>
                              </w:rPr>
                              <w:t>and availability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during outpatient week, arrangements can be made to observe/collaborate with outpatient GI clinic dietitians in their work of nutriti</w:t>
                            </w:r>
                            <w:r w:rsidR="00AD18A5">
                              <w:rPr>
                                <w:sz w:val="20"/>
                                <w:szCs w:val="20"/>
                              </w:rPr>
                              <w:t>onal assessment and counseling.</w:t>
                            </w:r>
                          </w:p>
                          <w:p w14:paraId="119BB9F6" w14:textId="1E39BF2D" w:rsidR="005E049D" w:rsidRDefault="005E049D" w:rsidP="0080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67ECA7" w14:textId="4601C58B" w:rsidR="005E049D" w:rsidRPr="006E33E1" w:rsidRDefault="005E049D" w:rsidP="008059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(Low fidelity endoscopy simulator for endoscopy training is available on site for interested residents during outpatient week, but </w:t>
                            </w:r>
                            <w:r w:rsidR="00B84464">
                              <w:rPr>
                                <w:sz w:val="20"/>
                                <w:szCs w:val="20"/>
                              </w:rPr>
                              <w:t>this is not an expectation or objective of rotation,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endoscopy training is generally prioritized for subspecialty residents, and discussion/planning would have to be made with staff ahead of time)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4D1FF7" id="Text Box 7" o:spid="_x0000_s1027" type="#_x0000_t202" style="position:absolute;margin-left:0;margin-top:17.75pt;width:446.65pt;height:27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">
                <v:textbox>
                  <w:txbxContent>
                    <w:p w14:paraId="3AE46FC6" w14:textId="7E4093E6" w:rsidR="00D02C67" w:rsidRPr="006E33E1" w:rsidRDefault="0034533D" w:rsidP="00805996">
                      <w:pPr>
                        <w:rPr>
                          <w:sz w:val="20"/>
                          <w:szCs w:val="20"/>
                        </w:rPr>
                      </w:pPr>
                      <w:r w:rsidRPr="006E33E1">
                        <w:rPr>
                          <w:sz w:val="20"/>
                          <w:szCs w:val="20"/>
                        </w:rPr>
                        <w:t>Pediatric Gastroenterology Academic Half-Day running every Friday morning, with case-based learning led by a different staff each week. Additional content may include radiology or pathology rounds, presentations (</w:t>
                      </w:r>
                      <w:proofErr w:type="gramStart"/>
                      <w:r w:rsidRPr="006E33E1">
                        <w:rPr>
                          <w:sz w:val="20"/>
                          <w:szCs w:val="20"/>
                        </w:rPr>
                        <w:t>sometimes in</w:t>
                      </w:r>
                      <w:proofErr w:type="gramEnd"/>
                      <w:r w:rsidRPr="006E33E1">
                        <w:rPr>
                          <w:sz w:val="20"/>
                          <w:szCs w:val="20"/>
                        </w:rPr>
                        <w:t xml:space="preserve"> collaboration with</w:t>
                      </w:r>
                      <w:r w:rsidR="00B84464">
                        <w:rPr>
                          <w:sz w:val="20"/>
                          <w:szCs w:val="20"/>
                        </w:rPr>
                        <w:t xml:space="preserve"> General Surgery, other Pediatric Subspecialists,</w:t>
                      </w:r>
                      <w:r w:rsidR="00D02C67" w:rsidRPr="006E33E1">
                        <w:rPr>
                          <w:sz w:val="20"/>
                          <w:szCs w:val="20"/>
                        </w:rPr>
                        <w:t xml:space="preserve"> allied health),</w:t>
                      </w:r>
                      <w:r w:rsidRPr="006E33E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02C67" w:rsidRPr="006E33E1">
                        <w:rPr>
                          <w:sz w:val="20"/>
                          <w:szCs w:val="20"/>
                        </w:rPr>
                        <w:t>fellow-l</w:t>
                      </w:r>
                      <w:r w:rsidRPr="006E33E1">
                        <w:rPr>
                          <w:sz w:val="20"/>
                          <w:szCs w:val="20"/>
                        </w:rPr>
                        <w:t>ed</w:t>
                      </w:r>
                      <w:r w:rsidR="00D02C67" w:rsidRPr="006E33E1">
                        <w:rPr>
                          <w:sz w:val="20"/>
                          <w:szCs w:val="20"/>
                        </w:rPr>
                        <w:t xml:space="preserve"> review of important guidelines/position statements within the field, and journal club.</w:t>
                      </w:r>
                    </w:p>
                    <w:p w14:paraId="167A6E38" w14:textId="71E32AD0" w:rsidR="00D02C67" w:rsidRPr="006E33E1" w:rsidRDefault="00D02C67" w:rsidP="008059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EE70EA" w14:textId="58F9EE27" w:rsidR="00D02C67" w:rsidRPr="006E33E1" w:rsidRDefault="00D02C67" w:rsidP="00805996">
                      <w:pPr>
                        <w:rPr>
                          <w:sz w:val="20"/>
                          <w:szCs w:val="20"/>
                        </w:rPr>
                      </w:pPr>
                      <w:r w:rsidRPr="006E33E1">
                        <w:rPr>
                          <w:sz w:val="20"/>
                          <w:szCs w:val="20"/>
                        </w:rPr>
                        <w:t>If residents are interested in presenting at AHD during their rotation (e.g. journal club, presentation, case presentation), they are welcome to do so and can discuss scheduling a time/session at the beginning of their rotation. This is not required, however.</w:t>
                      </w:r>
                    </w:p>
                    <w:p w14:paraId="35759997" w14:textId="7B91F3AB" w:rsidR="00D02C67" w:rsidRPr="006E33E1" w:rsidRDefault="00D02C67" w:rsidP="008059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635C92" w14:textId="497E59C0" w:rsidR="005E049D" w:rsidRDefault="0043382A" w:rsidP="00805996">
                      <w:pPr>
                        <w:rPr>
                          <w:sz w:val="20"/>
                          <w:szCs w:val="20"/>
                        </w:rPr>
                      </w:pPr>
                      <w:r w:rsidRPr="006E33E1">
                        <w:rPr>
                          <w:sz w:val="20"/>
                          <w:szCs w:val="20"/>
                        </w:rPr>
                        <w:t xml:space="preserve">CHIRP multidisciplinary team rounds (currently via Zoom) occur every Tuesday at 0800-0900 and involve discussion of patients with intestinal failure/short bowel syndrome and their medical/nutritional/surgical management. </w:t>
                      </w:r>
                      <w:r w:rsidR="005E049D" w:rsidRPr="006E33E1">
                        <w:rPr>
                          <w:sz w:val="20"/>
                          <w:szCs w:val="20"/>
                        </w:rPr>
                        <w:t>Interesting case discussion occurs every Friday at 1200-1230 and is when staff/subspecialty residents present challenging and/or unique cases on the inpatient/outpatient service for discussion amongst physicians</w:t>
                      </w:r>
                      <w:r w:rsidR="005E049D">
                        <w:rPr>
                          <w:sz w:val="20"/>
                          <w:szCs w:val="20"/>
                        </w:rPr>
                        <w:t>, residents, and clerks</w:t>
                      </w:r>
                      <w:r w:rsidR="005E049D" w:rsidRPr="006E33E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45FEEF" w14:textId="0B51C4AF" w:rsidR="005E049D" w:rsidRDefault="005E049D" w:rsidP="008059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F32758" w14:textId="660FB021" w:rsidR="005E049D" w:rsidRDefault="005E049D" w:rsidP="0080599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interest </w:t>
                      </w:r>
                      <w:r w:rsidR="00B63E67">
                        <w:rPr>
                          <w:sz w:val="20"/>
                          <w:szCs w:val="20"/>
                        </w:rPr>
                        <w:t>and availability</w:t>
                      </w:r>
                      <w:r>
                        <w:rPr>
                          <w:sz w:val="20"/>
                          <w:szCs w:val="20"/>
                        </w:rPr>
                        <w:t xml:space="preserve"> during outpatient week, arrangements can be made to observe/collaborate with outpatient GI clinic dietitians in their work of nutriti</w:t>
                      </w:r>
                      <w:r w:rsidR="00AD18A5">
                        <w:rPr>
                          <w:sz w:val="20"/>
                          <w:szCs w:val="20"/>
                        </w:rPr>
                        <w:t>onal assessment and counseling.</w:t>
                      </w:r>
                    </w:p>
                    <w:p w14:paraId="119BB9F6" w14:textId="1E39BF2D" w:rsidR="005E049D" w:rsidRDefault="005E049D" w:rsidP="008059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67ECA7" w14:textId="4601C58B" w:rsidR="005E049D" w:rsidRPr="006E33E1" w:rsidRDefault="005E049D" w:rsidP="0080599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(Low fidelity endoscopy simulator for endoscopy training is available on site for interested residents during outpatient week, but </w:t>
                      </w:r>
                      <w:r w:rsidR="00B84464">
                        <w:rPr>
                          <w:sz w:val="20"/>
                          <w:szCs w:val="20"/>
                        </w:rPr>
                        <w:t>this is not an expectation or objective of rotation,</w:t>
                      </w:r>
                      <w:r>
                        <w:rPr>
                          <w:sz w:val="20"/>
                          <w:szCs w:val="20"/>
                        </w:rPr>
                        <w:t xml:space="preserve"> endoscopy training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is generally prioritized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for subspecialty residents, and discussion/planning would have to be made with staff ahead of time)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82425C" w14:textId="7BBAA34E" w:rsidR="003F5940" w:rsidRPr="0060311A" w:rsidRDefault="003F5940" w:rsidP="00916B1D">
      <w:pPr>
        <w:rPr>
          <w:rFonts w:ascii="Arial" w:hAnsi="Arial" w:cs="Arial"/>
          <w:sz w:val="22"/>
          <w:szCs w:val="22"/>
          <w:u w:val="thick"/>
        </w:rPr>
      </w:pPr>
    </w:p>
    <w:p w14:paraId="69B722D1" w14:textId="60713B5F" w:rsidR="003F5940" w:rsidRPr="0060311A" w:rsidRDefault="0007215F" w:rsidP="005C185C">
      <w:pPr>
        <w:keepNext/>
        <w:tabs>
          <w:tab w:val="left" w:pos="90"/>
        </w:tabs>
        <w:rPr>
          <w:rFonts w:ascii="Arial" w:hAnsi="Arial" w:cs="Arial"/>
          <w:sz w:val="22"/>
          <w:szCs w:val="22"/>
          <w:u w:val="thick"/>
        </w:rPr>
      </w:pPr>
      <w:r w:rsidRPr="005C185C">
        <w:rPr>
          <w:rFonts w:ascii="Arial" w:hAnsi="Arial" w:cs="Arial"/>
          <w:b/>
          <w:noProof/>
          <w:sz w:val="22"/>
          <w:szCs w:val="22"/>
          <w:u w:val="thick"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BFA576" wp14:editId="2DA4DA81">
                <wp:simplePos x="0" y="0"/>
                <wp:positionH relativeFrom="margin">
                  <wp:posOffset>0</wp:posOffset>
                </wp:positionH>
                <wp:positionV relativeFrom="paragraph">
                  <wp:posOffset>422275</wp:posOffset>
                </wp:positionV>
                <wp:extent cx="5753100" cy="20288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FB68" w14:textId="77777777" w:rsidR="004136ED" w:rsidRDefault="00D049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On first day, </w:t>
                            </w:r>
                            <w:r w:rsidR="004136ED">
                              <w:rPr>
                                <w:sz w:val="20"/>
                                <w:szCs w:val="20"/>
                              </w:rPr>
                              <w:t>please arrive at 0800, and page the GI on-call 1</w:t>
                            </w:r>
                            <w:r w:rsidR="004136ED" w:rsidRPr="006E33E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4136ED">
                              <w:rPr>
                                <w:sz w:val="20"/>
                                <w:szCs w:val="20"/>
                              </w:rPr>
                              <w:t xml:space="preserve"> (generally the fellow) to inform them of your arrival. Their cubicle is on the 4</w:t>
                            </w:r>
                            <w:r w:rsidR="004136ED" w:rsidRPr="006E33E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136ED">
                              <w:rPr>
                                <w:sz w:val="20"/>
                                <w:szCs w:val="20"/>
                              </w:rPr>
                              <w:t xml:space="preserve"> floor in the office space. Handover will generally occur at this time along with orientation to service.</w:t>
                            </w:r>
                          </w:p>
                          <w:p w14:paraId="6D450854" w14:textId="77777777" w:rsidR="004136ED" w:rsidRDefault="004136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CB5C6D" w14:textId="76AB5F96" w:rsidR="004136ED" w:rsidRPr="00365439" w:rsidRDefault="004136ED" w:rsidP="003F59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Outpatient schedules will be prepared by Pamela White and e-mailed to you prior to starting rotation or during first week of the rotation, and will include designated time for 1-on-1 teaching with Dr. Gary Galante. If you are interested in additional experiences during self-study time, contact Gary Galante and Pam White during </w:t>
                            </w:r>
                            <w:r w:rsidRPr="00365439">
                              <w:rPr>
                                <w:sz w:val="20"/>
                                <w:szCs w:val="20"/>
                              </w:rPr>
                              <w:t>the first week to make further plans.</w:t>
                            </w:r>
                          </w:p>
                          <w:p w14:paraId="340523A1" w14:textId="4C5B1EC1" w:rsidR="004136ED" w:rsidRPr="006E33E1" w:rsidRDefault="004136ED" w:rsidP="003F59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E8301D" w14:textId="3B6DA3DC" w:rsidR="00365439" w:rsidRPr="006E33E1" w:rsidRDefault="003654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33E1">
                              <w:rPr>
                                <w:sz w:val="20"/>
                                <w:szCs w:val="20"/>
                              </w:rPr>
                              <w:t>Additional</w:t>
                            </w:r>
                            <w:r w:rsidR="004136ED" w:rsidRPr="006E33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3E1">
                              <w:rPr>
                                <w:sz w:val="20"/>
                                <w:szCs w:val="20"/>
                              </w:rPr>
                              <w:t xml:space="preserve">documents </w:t>
                            </w:r>
                            <w:r w:rsidR="004136ED" w:rsidRPr="006E33E1">
                              <w:rPr>
                                <w:sz w:val="20"/>
                                <w:szCs w:val="20"/>
                              </w:rPr>
                              <w:t xml:space="preserve">will be provided regarding </w:t>
                            </w:r>
                            <w:r w:rsidRPr="006E33E1">
                              <w:rPr>
                                <w:sz w:val="20"/>
                                <w:szCs w:val="20"/>
                              </w:rPr>
                              <w:t xml:space="preserve">a) Welcome/Orientation, b) </w:t>
                            </w:r>
                            <w:r w:rsidR="004136ED" w:rsidRPr="006E33E1">
                              <w:rPr>
                                <w:sz w:val="20"/>
                                <w:szCs w:val="20"/>
                              </w:rPr>
                              <w:t>Cue Cards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Assignment</w:t>
                            </w:r>
                            <w:r w:rsidR="004136ED" w:rsidRPr="006E33E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E33E1">
                              <w:rPr>
                                <w:sz w:val="20"/>
                                <w:szCs w:val="20"/>
                              </w:rPr>
                              <w:t>c) MCQ/SAQ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Assignment</w:t>
                            </w:r>
                            <w:r w:rsidRPr="006E33E1">
                              <w:rPr>
                                <w:sz w:val="20"/>
                                <w:szCs w:val="20"/>
                              </w:rPr>
                              <w:t>, and d) Reading resources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They will be sent out by Pamela White via e-mail and will be made available for posting on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PaedsPortal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BFA576" id="_x0000_s1028" type="#_x0000_t202" style="position:absolute;margin-left:0;margin-top:33.25pt;width:453pt;height:15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">
                <v:textbox>
                  <w:txbxContent>
                    <w:p w14:paraId="41B1FB68" w14:textId="77777777" w:rsidR="004136ED" w:rsidRDefault="00D049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On first day, </w:t>
                      </w:r>
                      <w:r w:rsidR="004136ED">
                        <w:rPr>
                          <w:sz w:val="20"/>
                          <w:szCs w:val="20"/>
                        </w:rPr>
                        <w:t>please arrive at 0800, and page the GI on-call 1</w:t>
                      </w:r>
                      <w:r w:rsidR="004136ED" w:rsidRPr="006E33E1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4136ED">
                        <w:rPr>
                          <w:sz w:val="20"/>
                          <w:szCs w:val="20"/>
                        </w:rPr>
                        <w:t xml:space="preserve"> (generally the fellow) to inform them of your arrival. Their cubicle is on the </w:t>
                      </w:r>
                      <w:proofErr w:type="gramStart"/>
                      <w:r w:rsidR="004136ED">
                        <w:rPr>
                          <w:sz w:val="20"/>
                          <w:szCs w:val="20"/>
                        </w:rPr>
                        <w:t>4</w:t>
                      </w:r>
                      <w:r w:rsidR="004136ED" w:rsidRPr="006E33E1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proofErr w:type="gramEnd"/>
                      <w:r w:rsidR="004136ED">
                        <w:rPr>
                          <w:sz w:val="20"/>
                          <w:szCs w:val="20"/>
                        </w:rPr>
                        <w:t xml:space="preserve"> floor in the office space. Handover will generally occur at this time along with orientation to service.</w:t>
                      </w:r>
                    </w:p>
                    <w:p w14:paraId="6D450854" w14:textId="77777777" w:rsidR="004136ED" w:rsidRDefault="004136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CB5C6D" w14:textId="76AB5F96" w:rsidR="004136ED" w:rsidRPr="00365439" w:rsidRDefault="004136ED" w:rsidP="003F59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Outpatient schedules will be prepared by Pamela White and e-mailed to you prior to starting rotation or during first week of the rotation, and will include designated time for 1-on-1 teaching with Dr. Gary Galante. If you are interested in additional experiences during self-study time, contact Gary Galante and Pam White during </w:t>
                      </w:r>
                      <w:r w:rsidRPr="00365439">
                        <w:rPr>
                          <w:sz w:val="20"/>
                          <w:szCs w:val="20"/>
                        </w:rPr>
                        <w:t>the first week to make further plans.</w:t>
                      </w:r>
                    </w:p>
                    <w:p w14:paraId="340523A1" w14:textId="4C5B1EC1" w:rsidR="004136ED" w:rsidRPr="006E33E1" w:rsidRDefault="004136ED" w:rsidP="003F594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E8301D" w14:textId="3B6DA3DC" w:rsidR="00365439" w:rsidRPr="006E33E1" w:rsidRDefault="00365439">
                      <w:pPr>
                        <w:rPr>
                          <w:sz w:val="20"/>
                          <w:szCs w:val="20"/>
                        </w:rPr>
                      </w:pPr>
                      <w:r w:rsidRPr="006E33E1">
                        <w:rPr>
                          <w:sz w:val="20"/>
                          <w:szCs w:val="20"/>
                        </w:rPr>
                        <w:t>Additional</w:t>
                      </w:r>
                      <w:r w:rsidR="004136ED" w:rsidRPr="006E33E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E33E1">
                        <w:rPr>
                          <w:sz w:val="20"/>
                          <w:szCs w:val="20"/>
                        </w:rPr>
                        <w:t xml:space="preserve">documents </w:t>
                      </w:r>
                      <w:proofErr w:type="gramStart"/>
                      <w:r w:rsidR="004136ED" w:rsidRPr="006E33E1">
                        <w:rPr>
                          <w:sz w:val="20"/>
                          <w:szCs w:val="20"/>
                        </w:rPr>
                        <w:t>will be provided</w:t>
                      </w:r>
                      <w:proofErr w:type="gramEnd"/>
                      <w:r w:rsidR="004136ED" w:rsidRPr="006E33E1">
                        <w:rPr>
                          <w:sz w:val="20"/>
                          <w:szCs w:val="20"/>
                        </w:rPr>
                        <w:t xml:space="preserve"> regarding </w:t>
                      </w:r>
                      <w:r w:rsidRPr="006E33E1">
                        <w:rPr>
                          <w:sz w:val="20"/>
                          <w:szCs w:val="20"/>
                        </w:rPr>
                        <w:t xml:space="preserve">a) Welcome/Orientation, b) </w:t>
                      </w:r>
                      <w:r w:rsidR="004136ED" w:rsidRPr="006E33E1">
                        <w:rPr>
                          <w:sz w:val="20"/>
                          <w:szCs w:val="20"/>
                        </w:rPr>
                        <w:t>Cue Cards</w:t>
                      </w:r>
                      <w:r>
                        <w:rPr>
                          <w:sz w:val="20"/>
                          <w:szCs w:val="20"/>
                        </w:rPr>
                        <w:t xml:space="preserve"> Assignment</w:t>
                      </w:r>
                      <w:r w:rsidR="004136ED" w:rsidRPr="006E33E1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6E33E1">
                        <w:rPr>
                          <w:sz w:val="20"/>
                          <w:szCs w:val="20"/>
                        </w:rPr>
                        <w:t>c) MCQ/SAQ</w:t>
                      </w:r>
                      <w:r>
                        <w:rPr>
                          <w:sz w:val="20"/>
                          <w:szCs w:val="20"/>
                        </w:rPr>
                        <w:t xml:space="preserve"> Assignment</w:t>
                      </w:r>
                      <w:r w:rsidRPr="006E33E1">
                        <w:rPr>
                          <w:sz w:val="20"/>
                          <w:szCs w:val="20"/>
                        </w:rPr>
                        <w:t>, and d) Reading resources</w:t>
                      </w:r>
                      <w:r>
                        <w:rPr>
                          <w:sz w:val="20"/>
                          <w:szCs w:val="20"/>
                        </w:rPr>
                        <w:t xml:space="preserve">. They will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be sent out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by Pamela White via e-mail and will be made available for posting on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PaedsPortal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5940" w:rsidRPr="005C185C">
        <w:rPr>
          <w:rFonts w:ascii="Arial" w:hAnsi="Arial" w:cs="Arial"/>
          <w:b/>
          <w:sz w:val="22"/>
          <w:szCs w:val="22"/>
          <w:u w:val="thick"/>
        </w:rPr>
        <w:t>A</w:t>
      </w:r>
      <w:r w:rsidR="003F5940" w:rsidRPr="006E33E1">
        <w:rPr>
          <w:rFonts w:ascii="Arial" w:hAnsi="Arial" w:cs="Arial"/>
          <w:b/>
          <w:sz w:val="22"/>
          <w:szCs w:val="22"/>
          <w:u w:val="thick"/>
        </w:rPr>
        <w:t>dditional Details: (</w:t>
      </w:r>
      <w:proofErr w:type="spellStart"/>
      <w:r w:rsidR="003F5940" w:rsidRPr="006E33E1">
        <w:rPr>
          <w:rFonts w:ascii="Arial" w:hAnsi="Arial" w:cs="Arial"/>
          <w:b/>
          <w:sz w:val="22"/>
          <w:szCs w:val="22"/>
          <w:u w:val="thick"/>
        </w:rPr>
        <w:t>ie</w:t>
      </w:r>
      <w:proofErr w:type="spellEnd"/>
      <w:r w:rsidR="003F5940" w:rsidRPr="006E33E1">
        <w:rPr>
          <w:rFonts w:ascii="Arial" w:hAnsi="Arial" w:cs="Arial"/>
          <w:b/>
          <w:sz w:val="22"/>
          <w:szCs w:val="22"/>
          <w:u w:val="thick"/>
        </w:rPr>
        <w:t xml:space="preserve"> first day details, schedules, important items to review/read, references</w:t>
      </w:r>
      <w:r w:rsidR="003F5940" w:rsidRPr="006E33E1">
        <w:rPr>
          <w:rFonts w:ascii="Arial" w:hAnsi="Arial" w:cs="Arial"/>
          <w:sz w:val="22"/>
          <w:szCs w:val="22"/>
          <w:u w:val="thick"/>
        </w:rPr>
        <w:t>)</w:t>
      </w:r>
    </w:p>
    <w:p w14:paraId="7738892D" w14:textId="20F1CBD6" w:rsidR="003F5940" w:rsidRPr="0060311A" w:rsidRDefault="003F5940" w:rsidP="00916B1D">
      <w:pPr>
        <w:rPr>
          <w:rFonts w:ascii="Arial" w:hAnsi="Arial" w:cs="Arial"/>
          <w:sz w:val="22"/>
          <w:szCs w:val="22"/>
          <w:u w:val="thick"/>
        </w:rPr>
      </w:pPr>
    </w:p>
    <w:p w14:paraId="4EF387AC" w14:textId="77777777" w:rsidR="003F5940" w:rsidRPr="0060311A" w:rsidRDefault="003F5940" w:rsidP="00916B1D">
      <w:pPr>
        <w:rPr>
          <w:rFonts w:ascii="Arial" w:hAnsi="Arial" w:cs="Arial"/>
          <w:sz w:val="22"/>
          <w:szCs w:val="22"/>
          <w:u w:val="thick"/>
        </w:rPr>
      </w:pPr>
    </w:p>
    <w:p w14:paraId="6FB1D551" w14:textId="202A3161" w:rsidR="00AD0874" w:rsidRDefault="00AD0874" w:rsidP="00916B1D">
      <w:pPr>
        <w:rPr>
          <w:rFonts w:ascii="Arial" w:hAnsi="Arial" w:cs="Arial"/>
          <w:sz w:val="22"/>
          <w:szCs w:val="22"/>
          <w:u w:val="thick"/>
        </w:rPr>
      </w:pPr>
    </w:p>
    <w:p w14:paraId="0DB52BF6" w14:textId="187BCCEC" w:rsidR="005C185C" w:rsidRPr="0060311A" w:rsidRDefault="005C185C" w:rsidP="00916B1D">
      <w:pPr>
        <w:rPr>
          <w:rFonts w:ascii="Arial" w:hAnsi="Arial" w:cs="Arial"/>
          <w:sz w:val="22"/>
          <w:szCs w:val="22"/>
          <w:u w:val="thick"/>
        </w:rPr>
      </w:pPr>
    </w:p>
    <w:p w14:paraId="4EFEF92C" w14:textId="2C48B720" w:rsidR="003F5940" w:rsidRPr="0060311A" w:rsidRDefault="003F5940" w:rsidP="00916B1D">
      <w:pPr>
        <w:rPr>
          <w:rFonts w:ascii="Arial" w:hAnsi="Arial" w:cs="Arial"/>
          <w:sz w:val="22"/>
          <w:szCs w:val="22"/>
        </w:rPr>
      </w:pPr>
      <w:r w:rsidRPr="005C185C">
        <w:rPr>
          <w:rFonts w:ascii="Arial" w:hAnsi="Arial" w:cs="Arial"/>
          <w:b/>
          <w:sz w:val="22"/>
          <w:szCs w:val="22"/>
          <w:u w:val="thick"/>
        </w:rPr>
        <w:t>Pediatric Presentations M</w:t>
      </w:r>
      <w:r w:rsidR="00111FC3" w:rsidRPr="005C185C">
        <w:rPr>
          <w:rFonts w:ascii="Arial" w:hAnsi="Arial" w:cs="Arial"/>
          <w:b/>
          <w:sz w:val="22"/>
          <w:szCs w:val="22"/>
          <w:u w:val="thick"/>
        </w:rPr>
        <w:t>apped to this Training Experience include</w:t>
      </w:r>
      <w:r w:rsidRPr="005C185C">
        <w:rPr>
          <w:rFonts w:ascii="Arial" w:hAnsi="Arial" w:cs="Arial"/>
          <w:b/>
          <w:sz w:val="22"/>
          <w:szCs w:val="22"/>
          <w:u w:val="thick"/>
        </w:rPr>
        <w:t xml:space="preserve"> </w:t>
      </w:r>
      <w:r w:rsidRPr="005C185C">
        <w:rPr>
          <w:rFonts w:ascii="Arial" w:hAnsi="Arial" w:cs="Arial"/>
          <w:b/>
          <w:i/>
          <w:sz w:val="22"/>
          <w:szCs w:val="22"/>
          <w:u w:val="thick"/>
        </w:rPr>
        <w:t>(ask rotations to review</w:t>
      </w:r>
      <w:r w:rsidRPr="005C185C">
        <w:rPr>
          <w:rFonts w:ascii="Arial" w:hAnsi="Arial" w:cs="Arial"/>
          <w:b/>
          <w:sz w:val="22"/>
          <w:szCs w:val="22"/>
          <w:u w:val="thick"/>
        </w:rPr>
        <w:t>)</w:t>
      </w:r>
      <w:r w:rsidR="00111FC3" w:rsidRPr="005C185C">
        <w:rPr>
          <w:rFonts w:ascii="Arial" w:hAnsi="Arial" w:cs="Arial"/>
          <w:b/>
          <w:sz w:val="22"/>
          <w:szCs w:val="22"/>
        </w:rPr>
        <w:t xml:space="preserve">: </w:t>
      </w:r>
      <w:r w:rsidR="005C185C">
        <w:rPr>
          <w:rFonts w:ascii="Arial" w:hAnsi="Arial" w:cs="Arial"/>
          <w:b/>
          <w:sz w:val="22"/>
          <w:szCs w:val="22"/>
        </w:rPr>
        <w:t xml:space="preserve"> </w:t>
      </w:r>
      <w:r w:rsidRPr="0060311A">
        <w:rPr>
          <w:rFonts w:ascii="Arial" w:hAnsi="Arial" w:cs="Arial"/>
          <w:sz w:val="22"/>
          <w:szCs w:val="22"/>
        </w:rPr>
        <w:t>(From the Royal College Pediatric Competencies Document)</w:t>
      </w:r>
    </w:p>
    <w:p w14:paraId="71EDEE70" w14:textId="77777777" w:rsidR="00111FC3" w:rsidRPr="0060311A" w:rsidRDefault="00111FC3" w:rsidP="00916B1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3833"/>
        <w:gridCol w:w="2171"/>
        <w:gridCol w:w="1684"/>
      </w:tblGrid>
      <w:tr w:rsidR="00D3030A" w:rsidRPr="0060311A" w14:paraId="38236182" w14:textId="3C7C83E4" w:rsidTr="006E33E1">
        <w:tc>
          <w:tcPr>
            <w:tcW w:w="1662" w:type="dxa"/>
          </w:tcPr>
          <w:p w14:paraId="53E5F35C" w14:textId="77777777" w:rsidR="00D3030A" w:rsidRPr="0060311A" w:rsidRDefault="00D3030A" w:rsidP="00286EA1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3" w:type="dxa"/>
          </w:tcPr>
          <w:p w14:paraId="3614E669" w14:textId="3FACC50B" w:rsidR="00D3030A" w:rsidRPr="0060311A" w:rsidRDefault="00D3030A" w:rsidP="00BE1B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60311A">
              <w:rPr>
                <w:rFonts w:ascii="Arial" w:hAnsi="Arial" w:cs="Arial"/>
                <w:b/>
                <w:sz w:val="22"/>
                <w:szCs w:val="22"/>
              </w:rPr>
              <w:t>resentation</w:t>
            </w:r>
          </w:p>
        </w:tc>
        <w:tc>
          <w:tcPr>
            <w:tcW w:w="2171" w:type="dxa"/>
          </w:tcPr>
          <w:p w14:paraId="31A593C9" w14:textId="683F53E5" w:rsidR="00D3030A" w:rsidRPr="0060311A" w:rsidRDefault="00D303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11A">
              <w:rPr>
                <w:rFonts w:ascii="Arial" w:hAnsi="Arial" w:cs="Arial"/>
                <w:b/>
                <w:sz w:val="22"/>
                <w:szCs w:val="22"/>
              </w:rPr>
              <w:t>Where/How Taught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</w:tcPr>
          <w:p w14:paraId="0FDCA87C" w14:textId="0BD84701" w:rsidR="00D3030A" w:rsidRPr="0060311A" w:rsidRDefault="00D3030A" w:rsidP="00286E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Where/How Assessed</w:t>
            </w:r>
          </w:p>
        </w:tc>
      </w:tr>
      <w:tr w:rsidR="00D3030A" w:rsidRPr="0060311A" w14:paraId="4C19976D" w14:textId="0504709E" w:rsidTr="006E33E1">
        <w:tc>
          <w:tcPr>
            <w:tcW w:w="1662" w:type="dxa"/>
          </w:tcPr>
          <w:p w14:paraId="5C33181E" w14:textId="608261C4" w:rsidR="00D3030A" w:rsidRPr="006E33E1" w:rsidRDefault="00D3030A" w:rsidP="00286EA1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1.3.25.7.1.</w:t>
            </w:r>
            <w:r w:rsidR="003447B4" w:rsidRPr="006E33E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6E33E1">
              <w:rPr>
                <w:rFonts w:ascii="Arial" w:hAnsi="Arial" w:cs="Arial"/>
                <w:i/>
                <w:iCs/>
                <w:sz w:val="20"/>
                <w:szCs w:val="20"/>
              </w:rPr>
              <w:t>-11</w:t>
            </w:r>
          </w:p>
        </w:tc>
        <w:tc>
          <w:tcPr>
            <w:tcW w:w="3833" w:type="dxa"/>
          </w:tcPr>
          <w:p w14:paraId="7EB04DF5" w14:textId="3A00E057" w:rsidR="00D3030A" w:rsidRPr="006E33E1" w:rsidRDefault="00D3030A">
            <w:pPr>
              <w:rPr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 xml:space="preserve">Gastrointestinal, hepatic and biliary systems – symptoms, signs and findings of: </w:t>
            </w:r>
          </w:p>
          <w:p w14:paraId="2EBB51C1" w14:textId="4EAB2AB8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Abdominal pain, acute and chronic</w:t>
            </w:r>
          </w:p>
          <w:p w14:paraId="4F94C0BD" w14:textId="1792A8C4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Constipation and encopresis</w:t>
            </w:r>
          </w:p>
          <w:p w14:paraId="3670A1AC" w14:textId="70612B76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Diarrhea</w:t>
            </w:r>
          </w:p>
          <w:p w14:paraId="4E5C9DD8" w14:textId="5ACD39EA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Dysphagia</w:t>
            </w:r>
          </w:p>
          <w:p w14:paraId="35B1C9C5" w14:textId="0E339D27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Feeding difficulties</w:t>
            </w:r>
          </w:p>
          <w:p w14:paraId="6FFFAF88" w14:textId="6D209E28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Hepatomegaly</w:t>
            </w:r>
          </w:p>
          <w:p w14:paraId="380678A1" w14:textId="17605F31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Intestinal bleeding</w:t>
            </w:r>
          </w:p>
          <w:p w14:paraId="38BE87AF" w14:textId="67309B9D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Intestinal obstruction</w:t>
            </w:r>
          </w:p>
          <w:p w14:paraId="6A09F487" w14:textId="4ECEB472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Jaundice</w:t>
            </w:r>
          </w:p>
          <w:p w14:paraId="406089C0" w14:textId="668598D1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Vomiting and regurgitation</w:t>
            </w:r>
          </w:p>
        </w:tc>
        <w:tc>
          <w:tcPr>
            <w:tcW w:w="2171" w:type="dxa"/>
          </w:tcPr>
          <w:p w14:paraId="11851365" w14:textId="74F183AB" w:rsidR="00D3030A" w:rsidRPr="006E33E1" w:rsidRDefault="003447B4" w:rsidP="00286EA1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Academic Curriculum (</w:t>
            </w:r>
            <w:r w:rsidR="00B63E67" w:rsidRPr="006E33E1">
              <w:rPr>
                <w:rFonts w:ascii="Arial" w:hAnsi="Arial" w:cs="Arial"/>
                <w:sz w:val="20"/>
                <w:szCs w:val="20"/>
              </w:rPr>
              <w:t xml:space="preserve">Peds GI/Pediatric </w:t>
            </w:r>
            <w:r w:rsidRPr="006E33E1">
              <w:rPr>
                <w:rFonts w:ascii="Arial" w:hAnsi="Arial" w:cs="Arial"/>
                <w:sz w:val="20"/>
                <w:szCs w:val="20"/>
              </w:rPr>
              <w:t>AHD)</w:t>
            </w:r>
          </w:p>
          <w:p w14:paraId="43E70740" w14:textId="77777777" w:rsidR="003447B4" w:rsidRPr="006E33E1" w:rsidRDefault="003447B4" w:rsidP="00286E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4DF5C" w14:textId="7143F654" w:rsidR="003447B4" w:rsidRPr="006E33E1" w:rsidRDefault="003447B4" w:rsidP="00286EA1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Clinical experiences</w:t>
            </w:r>
            <w:r w:rsidR="00622C64" w:rsidRPr="006E33E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622C64" w:rsidRPr="006E33E1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="00622C64" w:rsidRPr="006E33E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22C64" w:rsidRPr="006E33E1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="00622C64" w:rsidRPr="006E33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4" w:type="dxa"/>
          </w:tcPr>
          <w:p w14:paraId="7936DF02" w14:textId="4EB118DE" w:rsidR="00D3030A" w:rsidRPr="006E33E1" w:rsidRDefault="003447B4" w:rsidP="00286EA1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Clinical rotation</w:t>
            </w:r>
            <w:r w:rsidR="00622C64" w:rsidRPr="006E33E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622C64" w:rsidRPr="006E33E1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="00622C64" w:rsidRPr="006E33E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22C64" w:rsidRPr="006E33E1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="00622C64" w:rsidRPr="006E33E1">
              <w:rPr>
                <w:rFonts w:ascii="Arial" w:hAnsi="Arial" w:cs="Arial"/>
                <w:sz w:val="20"/>
                <w:szCs w:val="20"/>
              </w:rPr>
              <w:t>)</w:t>
            </w:r>
            <w:r w:rsidRPr="006E33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610E68" w14:textId="6A9727A7" w:rsidR="003447B4" w:rsidRPr="006E33E1" w:rsidRDefault="003447B4" w:rsidP="00286EA1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EPA assessments, ITARs, Cue Cards Assignment</w:t>
            </w:r>
          </w:p>
        </w:tc>
      </w:tr>
      <w:tr w:rsidR="00D3030A" w:rsidRPr="0060311A" w14:paraId="24A36D57" w14:textId="24725751" w:rsidTr="006E33E1">
        <w:tc>
          <w:tcPr>
            <w:tcW w:w="1662" w:type="dxa"/>
          </w:tcPr>
          <w:p w14:paraId="0B4FF253" w14:textId="6AED4E28" w:rsidR="00D3030A" w:rsidRPr="006E33E1" w:rsidRDefault="00D3030A" w:rsidP="00286E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 xml:space="preserve">1.3.25.7.2. </w:t>
            </w:r>
            <w:r w:rsidRPr="006E33E1">
              <w:rPr>
                <w:rFonts w:ascii="Arial" w:hAnsi="Arial" w:cs="Arial"/>
                <w:i/>
                <w:iCs/>
                <w:sz w:val="20"/>
                <w:szCs w:val="20"/>
              </w:rPr>
              <w:t>1-</w:t>
            </w:r>
            <w:r w:rsidR="00B63E67" w:rsidRPr="006E33E1">
              <w:rPr>
                <w:rFonts w:ascii="Arial" w:hAnsi="Arial" w:cs="Arial"/>
                <w:i/>
                <w:iCs/>
                <w:sz w:val="20"/>
                <w:szCs w:val="20"/>
              </w:rPr>
              <w:t>6, 8-11</w:t>
            </w:r>
          </w:p>
        </w:tc>
        <w:tc>
          <w:tcPr>
            <w:tcW w:w="3833" w:type="dxa"/>
          </w:tcPr>
          <w:p w14:paraId="42AE7A9D" w14:textId="267BB6D0" w:rsidR="00D3030A" w:rsidRPr="006E33E1" w:rsidRDefault="00D3030A" w:rsidP="00286EA1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Gastrointestinal, hepatic and biliary system – conditions:</w:t>
            </w:r>
          </w:p>
          <w:p w14:paraId="798810D6" w14:textId="2CDC3F15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Congenital malformations of the gastrointestinal tract and abdominal cavity, including complications of surgical repair</w:t>
            </w:r>
          </w:p>
          <w:p w14:paraId="3D24B8AC" w14:textId="186CC77F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Disorders of GI motility</w:t>
            </w:r>
          </w:p>
          <w:p w14:paraId="06813408" w14:textId="202E15D3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Functional disorders</w:t>
            </w:r>
          </w:p>
          <w:p w14:paraId="1F031530" w14:textId="23080C75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Esophagitis, ga</w:t>
            </w:r>
            <w:r w:rsidR="003250D9">
              <w:rPr>
                <w:rFonts w:ascii="Arial" w:hAnsi="Arial" w:cs="Arial"/>
                <w:sz w:val="20"/>
                <w:szCs w:val="20"/>
              </w:rPr>
              <w:t>s</w:t>
            </w:r>
            <w:r w:rsidRPr="006E33E1">
              <w:rPr>
                <w:rFonts w:ascii="Arial" w:hAnsi="Arial" w:cs="Arial"/>
                <w:sz w:val="20"/>
                <w:szCs w:val="20"/>
              </w:rPr>
              <w:t>troesophageal reflux, and peptic ulcer disease</w:t>
            </w:r>
          </w:p>
          <w:p w14:paraId="5161A4B8" w14:textId="06D29EF4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lastRenderedPageBreak/>
              <w:t>Enteropathies and colitis, including inflammatory bowel disease</w:t>
            </w:r>
          </w:p>
          <w:p w14:paraId="2DD43D1E" w14:textId="39A06E5C" w:rsidR="00D3030A" w:rsidRPr="006E33E1" w:rsidRDefault="00D3030A" w:rsidP="006E33E1">
            <w:pPr>
              <w:pStyle w:val="ListParagraph"/>
              <w:rPr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Malabsorption syndromes, including celiac disease</w:t>
            </w:r>
          </w:p>
          <w:p w14:paraId="68608B2B" w14:textId="5AB69CEE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Short gut syndrome and intestinal failure</w:t>
            </w:r>
          </w:p>
          <w:p w14:paraId="39663109" w14:textId="2AAF4AAD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Disorders of the liver and biliary tract, congenital and acquired</w:t>
            </w:r>
          </w:p>
          <w:p w14:paraId="1C804FF4" w14:textId="5B4EEBD8" w:rsidR="00B63E67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Liver transplantation, including long-term health sequelae</w:t>
            </w:r>
          </w:p>
          <w:p w14:paraId="0CD3039F" w14:textId="68F339B9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Pancreatic disorders, congenital and acquired</w:t>
            </w:r>
          </w:p>
        </w:tc>
        <w:tc>
          <w:tcPr>
            <w:tcW w:w="2171" w:type="dxa"/>
          </w:tcPr>
          <w:p w14:paraId="2A67719A" w14:textId="77777777" w:rsidR="00B63E67" w:rsidRPr="006E33E1" w:rsidRDefault="00B63E67" w:rsidP="00B63E67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lastRenderedPageBreak/>
              <w:t>Academic Curriculum (Peds GI/Pediatric AHD)</w:t>
            </w:r>
          </w:p>
          <w:p w14:paraId="5D7DE966" w14:textId="77777777" w:rsidR="00B63E67" w:rsidRPr="006E33E1" w:rsidRDefault="00B63E67" w:rsidP="00B63E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27A7C" w14:textId="77777777" w:rsidR="00D3030A" w:rsidRPr="006E33E1" w:rsidRDefault="00B63E67" w:rsidP="00B63E67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6E33E1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6E33E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E33E1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6E33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C4CAC2" w14:textId="59273A0F" w:rsidR="00B63E67" w:rsidRPr="006E33E1" w:rsidRDefault="00B63E67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Includes specialty clinic exposure in CF/CHIRP clinic settings</w:t>
            </w:r>
          </w:p>
        </w:tc>
        <w:tc>
          <w:tcPr>
            <w:tcW w:w="1684" w:type="dxa"/>
          </w:tcPr>
          <w:p w14:paraId="487398E4" w14:textId="77777777" w:rsidR="00B63E67" w:rsidRPr="006E33E1" w:rsidRDefault="00B63E67" w:rsidP="00B63E67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6E33E1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6E33E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E33E1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6E33E1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18C865B" w14:textId="00272E15" w:rsidR="00D3030A" w:rsidRPr="006E33E1" w:rsidRDefault="00B63E67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EPA assessments, ITARs, MCQ/SAQ Assignment</w:t>
            </w:r>
          </w:p>
        </w:tc>
      </w:tr>
      <w:tr w:rsidR="00D3030A" w:rsidRPr="0060311A" w14:paraId="51814E46" w14:textId="170B3949" w:rsidTr="006E33E1">
        <w:tc>
          <w:tcPr>
            <w:tcW w:w="1662" w:type="dxa"/>
          </w:tcPr>
          <w:p w14:paraId="2F837431" w14:textId="7DBA9C79" w:rsidR="00D3030A" w:rsidRPr="006E33E1" w:rsidRDefault="00D3030A" w:rsidP="00B87D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1.3.15.</w:t>
            </w:r>
            <w:r w:rsidR="007553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33E1">
              <w:rPr>
                <w:rFonts w:ascii="Arial" w:hAnsi="Arial" w:cs="Arial"/>
                <w:i/>
                <w:sz w:val="20"/>
                <w:szCs w:val="20"/>
              </w:rPr>
              <w:t>1,</w:t>
            </w:r>
            <w:r w:rsidRPr="006E33E1">
              <w:rPr>
                <w:rFonts w:ascii="Arial" w:hAnsi="Arial" w:cs="Arial"/>
                <w:sz w:val="20"/>
                <w:szCs w:val="20"/>
              </w:rPr>
              <w:t xml:space="preserve"> 3-</w:t>
            </w:r>
            <w:r w:rsidRPr="006E33E1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833" w:type="dxa"/>
          </w:tcPr>
          <w:p w14:paraId="246C5AB3" w14:textId="77777777" w:rsidR="00D3030A" w:rsidRPr="006E33E1" w:rsidRDefault="00D3030A" w:rsidP="00B87D8D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Feeding and nutrition:</w:t>
            </w:r>
          </w:p>
          <w:p w14:paraId="09C73C93" w14:textId="13137B24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Recommended nutritional requirements for the infant, child and adolescent</w:t>
            </w:r>
          </w:p>
          <w:p w14:paraId="39C11221" w14:textId="231F8BD3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Nutritional assessment, including effect of disease states on nutritional requirements</w:t>
            </w:r>
          </w:p>
          <w:p w14:paraId="11684E8F" w14:textId="37D684F1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Parenteral and enteral nutrition for all age groups, including formula options</w:t>
            </w:r>
          </w:p>
          <w:p w14:paraId="57142C54" w14:textId="546F4D83" w:rsidR="00D3030A" w:rsidRPr="006E33E1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Health implications of restricted diets/fad diets and diets determined by custom or socioeconomic situation</w:t>
            </w:r>
          </w:p>
        </w:tc>
        <w:tc>
          <w:tcPr>
            <w:tcW w:w="2171" w:type="dxa"/>
          </w:tcPr>
          <w:p w14:paraId="5B1720ED" w14:textId="77777777" w:rsidR="0075537B" w:rsidRPr="00B8667B" w:rsidRDefault="0075537B" w:rsidP="0075537B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Academic Curriculum (Peds GI/Pediatric AHD)</w:t>
            </w:r>
          </w:p>
          <w:p w14:paraId="21570582" w14:textId="77777777" w:rsidR="0075537B" w:rsidRPr="00B8667B" w:rsidRDefault="0075537B" w:rsidP="007553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B04CD" w14:textId="77777777" w:rsidR="0075537B" w:rsidRPr="00B8667B" w:rsidRDefault="0075537B" w:rsidP="0075537B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BF56DC7" w14:textId="1257D047" w:rsidR="00D3030A" w:rsidRPr="006E33E1" w:rsidRDefault="00C2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 optional</w:t>
            </w:r>
            <w:r w:rsidR="0075537B">
              <w:rPr>
                <w:rFonts w:ascii="Arial" w:hAnsi="Arial" w:cs="Arial"/>
                <w:sz w:val="20"/>
                <w:szCs w:val="20"/>
              </w:rPr>
              <w:t xml:space="preserve"> work with clinic RD</w:t>
            </w:r>
          </w:p>
        </w:tc>
        <w:tc>
          <w:tcPr>
            <w:tcW w:w="1684" w:type="dxa"/>
          </w:tcPr>
          <w:p w14:paraId="5884A448" w14:textId="77777777" w:rsidR="0075537B" w:rsidRPr="00B8667B" w:rsidRDefault="0075537B" w:rsidP="0075537B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4A17266" w14:textId="2A435800" w:rsidR="00D3030A" w:rsidRPr="006E33E1" w:rsidRDefault="0075537B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</w:t>
            </w:r>
          </w:p>
        </w:tc>
      </w:tr>
      <w:tr w:rsidR="00D3030A" w:rsidRPr="0060311A" w14:paraId="3ECF9B1F" w14:textId="47166551" w:rsidTr="006E33E1">
        <w:tc>
          <w:tcPr>
            <w:tcW w:w="1662" w:type="dxa"/>
          </w:tcPr>
          <w:p w14:paraId="27994856" w14:textId="76F6376E" w:rsidR="00D3030A" w:rsidRPr="006E33E1" w:rsidRDefault="00D3030A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1.3.25.3</w:t>
            </w:r>
          </w:p>
        </w:tc>
        <w:tc>
          <w:tcPr>
            <w:tcW w:w="3833" w:type="dxa"/>
          </w:tcPr>
          <w:p w14:paraId="6913FE3C" w14:textId="77777777" w:rsidR="00E900C4" w:rsidRDefault="00D3030A" w:rsidP="00286EA1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 xml:space="preserve">Disorders of nutrition and growth, </w:t>
            </w:r>
          </w:p>
          <w:p w14:paraId="7602DEB4" w14:textId="1F6CD868" w:rsidR="00E900C4" w:rsidRPr="006E33E1" w:rsidRDefault="00E90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Symptoms, signs, and findings</w:t>
            </w:r>
          </w:p>
          <w:p w14:paraId="39A1FD62" w14:textId="5EB96614" w:rsidR="00D3030A" w:rsidRPr="006E33E1" w:rsidRDefault="00E900C4" w:rsidP="00286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3030A" w:rsidRPr="006E33E1">
              <w:rPr>
                <w:rFonts w:ascii="Arial" w:hAnsi="Arial" w:cs="Arial"/>
                <w:sz w:val="20"/>
                <w:szCs w:val="20"/>
              </w:rPr>
              <w:t>onditions:</w:t>
            </w:r>
          </w:p>
          <w:p w14:paraId="205A1698" w14:textId="77777777" w:rsidR="00D3030A" w:rsidRDefault="00D3030A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Nutritional deficiencies and excesses</w:t>
            </w:r>
          </w:p>
          <w:p w14:paraId="3E78D62C" w14:textId="3BD3D5BE" w:rsidR="00C207B6" w:rsidRPr="006E33E1" w:rsidRDefault="00C207B6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Obesity</w:t>
            </w:r>
          </w:p>
        </w:tc>
        <w:tc>
          <w:tcPr>
            <w:tcW w:w="2171" w:type="dxa"/>
          </w:tcPr>
          <w:p w14:paraId="575A19CD" w14:textId="77777777" w:rsidR="00C207B6" w:rsidRPr="00B8667B" w:rsidRDefault="00C207B6" w:rsidP="00C207B6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Academic Curriculum (Peds GI/Pediatric AHD)</w:t>
            </w:r>
          </w:p>
          <w:p w14:paraId="369CACDC" w14:textId="77777777" w:rsidR="00C207B6" w:rsidRPr="00B8667B" w:rsidRDefault="00C207B6" w:rsidP="00C20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0472B" w14:textId="77777777" w:rsidR="00C207B6" w:rsidRPr="00B8667B" w:rsidRDefault="00C207B6" w:rsidP="00C207B6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CBD220A" w14:textId="52A2CB0E" w:rsidR="00D3030A" w:rsidRPr="006E33E1" w:rsidRDefault="00C207B6" w:rsidP="00C2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 optional work with clinic RD</w:t>
            </w:r>
          </w:p>
        </w:tc>
        <w:tc>
          <w:tcPr>
            <w:tcW w:w="1684" w:type="dxa"/>
          </w:tcPr>
          <w:p w14:paraId="0D4FFD44" w14:textId="77777777" w:rsidR="00C207B6" w:rsidRPr="00B8667B" w:rsidRDefault="00C207B6" w:rsidP="00C207B6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139C1F9" w14:textId="40F35F94" w:rsidR="00D3030A" w:rsidRPr="006E33E1" w:rsidRDefault="00C207B6" w:rsidP="00C207B6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ITARs, MCQ/SAQ Assignment</w:t>
            </w:r>
          </w:p>
        </w:tc>
      </w:tr>
      <w:tr w:rsidR="00A766FE" w:rsidRPr="0060311A" w14:paraId="2A9B6E7F" w14:textId="77777777" w:rsidTr="00752686">
        <w:tc>
          <w:tcPr>
            <w:tcW w:w="1662" w:type="dxa"/>
          </w:tcPr>
          <w:p w14:paraId="6E836C07" w14:textId="505CC991" w:rsidR="00A766FE" w:rsidRDefault="00A766FE" w:rsidP="00A7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1.3.25.9.1.</w:t>
            </w:r>
            <w:r w:rsidRPr="006E33E1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3833" w:type="dxa"/>
          </w:tcPr>
          <w:p w14:paraId="65887B0C" w14:textId="5DE82157" w:rsidR="00A766FE" w:rsidRDefault="00A766FE" w:rsidP="00A7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Hematology and Oncology – Symptoms, signs and findings – </w:t>
            </w:r>
          </w:p>
          <w:p w14:paraId="42D44AB2" w14:textId="109CAC3E" w:rsidR="00A766FE" w:rsidRDefault="00A766FE" w:rsidP="00A7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Hepatosplenomegaly</w:t>
            </w:r>
          </w:p>
        </w:tc>
        <w:tc>
          <w:tcPr>
            <w:tcW w:w="2171" w:type="dxa"/>
          </w:tcPr>
          <w:p w14:paraId="420BBBCE" w14:textId="77777777" w:rsidR="00A766FE" w:rsidRPr="00B8667B" w:rsidRDefault="00A766FE" w:rsidP="00A766FE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Academic Curriculum (Peds GI/Pediatric AHD)</w:t>
            </w:r>
          </w:p>
          <w:p w14:paraId="5730A56D" w14:textId="77777777" w:rsidR="00A766FE" w:rsidRPr="00B8667B" w:rsidRDefault="00A766FE" w:rsidP="00A766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255C5" w14:textId="17EFD06F" w:rsidR="00A766FE" w:rsidRPr="00B8667B" w:rsidRDefault="00A766FE" w:rsidP="00A766FE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4" w:type="dxa"/>
          </w:tcPr>
          <w:p w14:paraId="79C543E5" w14:textId="77777777" w:rsidR="00A766FE" w:rsidRPr="00B8667B" w:rsidRDefault="00A766FE" w:rsidP="00A766FE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CE14EDE" w14:textId="7CA41E2B" w:rsidR="00A766FE" w:rsidRPr="00B8667B" w:rsidRDefault="00A766FE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</w:t>
            </w:r>
          </w:p>
        </w:tc>
      </w:tr>
      <w:tr w:rsidR="00A766FE" w:rsidRPr="0060311A" w14:paraId="027A453F" w14:textId="77777777" w:rsidTr="00752686">
        <w:tc>
          <w:tcPr>
            <w:tcW w:w="1662" w:type="dxa"/>
          </w:tcPr>
          <w:p w14:paraId="3784D47D" w14:textId="4BBDC682" w:rsidR="00A766FE" w:rsidRPr="002F27E7" w:rsidRDefault="00A766FE" w:rsidP="00A7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1.3.25.10.2.</w:t>
            </w:r>
            <w:r w:rsidRPr="006E33E1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3833" w:type="dxa"/>
          </w:tcPr>
          <w:p w14:paraId="10548FB5" w14:textId="19924709" w:rsidR="00A766FE" w:rsidRDefault="00A766FE" w:rsidP="00A76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Immunology and Allergy, Conditions</w:t>
            </w:r>
          </w:p>
          <w:p w14:paraId="7DD8919A" w14:textId="77E4313C" w:rsidR="00A766FE" w:rsidRPr="006E33E1" w:rsidRDefault="00A766FE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protein-induced enterocolitis syndrome (FPIES) and other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mediated food allergies</w:t>
            </w:r>
          </w:p>
        </w:tc>
        <w:tc>
          <w:tcPr>
            <w:tcW w:w="2171" w:type="dxa"/>
          </w:tcPr>
          <w:p w14:paraId="5F8C10D9" w14:textId="1B6F2ED3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Academic Curriculum (Peds GI/Pediatric AHD)</w:t>
            </w:r>
          </w:p>
          <w:p w14:paraId="1E2DD689" w14:textId="77777777" w:rsidR="00960743" w:rsidRDefault="00960743" w:rsidP="00A766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6CB1C" w14:textId="411EF6D7" w:rsidR="00A766FE" w:rsidRPr="00B8667B" w:rsidRDefault="00960743" w:rsidP="00A766FE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4" w:type="dxa"/>
          </w:tcPr>
          <w:p w14:paraId="4A2C255D" w14:textId="77777777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4BAEF47" w14:textId="733D9092" w:rsidR="00A766FE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</w:t>
            </w:r>
            <w:r w:rsidR="00352735">
              <w:rPr>
                <w:rFonts w:ascii="Arial" w:hAnsi="Arial" w:cs="Arial"/>
                <w:sz w:val="20"/>
                <w:szCs w:val="20"/>
              </w:rPr>
              <w:t>, MCQ/SAQ Assignment</w:t>
            </w:r>
          </w:p>
        </w:tc>
      </w:tr>
      <w:tr w:rsidR="00960743" w:rsidRPr="0060311A" w14:paraId="222C1A84" w14:textId="77777777" w:rsidTr="00752686">
        <w:tc>
          <w:tcPr>
            <w:tcW w:w="1662" w:type="dxa"/>
          </w:tcPr>
          <w:p w14:paraId="5FFFEDA8" w14:textId="6961C577" w:rsidR="00960743" w:rsidRPr="006E33E1" w:rsidRDefault="00960743" w:rsidP="0096074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1.3.25.11.1.1, 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833" w:type="dxa"/>
          </w:tcPr>
          <w:p w14:paraId="640D222B" w14:textId="7E2A1C41" w:rsidR="00960743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Infectious diseases – symptoms, signs and findings</w:t>
            </w:r>
          </w:p>
          <w:p w14:paraId="5CD6E1A2" w14:textId="77777777" w:rsidR="00960743" w:rsidRDefault="00960743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Diarrhea</w:t>
            </w:r>
          </w:p>
          <w:p w14:paraId="784D1CCC" w14:textId="3B35A4A8" w:rsidR="00960743" w:rsidRPr="006E33E1" w:rsidRDefault="00352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(Relevant c</w:t>
            </w:r>
            <w:r w:rsidR="00960743">
              <w:rPr>
                <w:rFonts w:ascii="Arial" w:hAnsi="Arial" w:cs="Arial"/>
                <w:sz w:val="20"/>
                <w:szCs w:val="20"/>
              </w:rPr>
              <w:t>onditions: fever without a focus, infection in immunocompromised host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71" w:type="dxa"/>
          </w:tcPr>
          <w:p w14:paraId="728F3EE7" w14:textId="77777777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lastRenderedPageBreak/>
              <w:t>Academic Curriculum (Peds GI/Pediatric AHD)</w:t>
            </w:r>
          </w:p>
          <w:p w14:paraId="7C6D167B" w14:textId="77777777" w:rsidR="00960743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6A4FC" w14:textId="0004628D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lastRenderedPageBreak/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4" w:type="dxa"/>
          </w:tcPr>
          <w:p w14:paraId="4345640F" w14:textId="77777777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lastRenderedPageBreak/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4044086" w14:textId="581C6D10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</w:t>
            </w:r>
          </w:p>
        </w:tc>
      </w:tr>
      <w:tr w:rsidR="00960743" w:rsidRPr="0060311A" w14:paraId="726B77DE" w14:textId="77777777" w:rsidTr="00752686">
        <w:tc>
          <w:tcPr>
            <w:tcW w:w="1662" w:type="dxa"/>
          </w:tcPr>
          <w:p w14:paraId="6566305B" w14:textId="77777777" w:rsidR="00960743" w:rsidRPr="006E33E1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1.3.21</w:t>
            </w:r>
          </w:p>
        </w:tc>
        <w:tc>
          <w:tcPr>
            <w:tcW w:w="3833" w:type="dxa"/>
          </w:tcPr>
          <w:p w14:paraId="1C59F72A" w14:textId="77777777" w:rsidR="00960743" w:rsidRPr="006E33E1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Management of children requiring complex chronic care and/or technology dependence</w:t>
            </w:r>
          </w:p>
        </w:tc>
        <w:tc>
          <w:tcPr>
            <w:tcW w:w="2171" w:type="dxa"/>
          </w:tcPr>
          <w:p w14:paraId="722F950E" w14:textId="2DA46A0E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Academic Curriculum (Peds GI AHD)</w:t>
            </w:r>
          </w:p>
          <w:p w14:paraId="26763977" w14:textId="77777777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75BFB" w14:textId="77777777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6BD382" w14:textId="03E0662F" w:rsidR="00960743" w:rsidRPr="006E33E1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Includes specialty clinic exposure in CF/CHIRP clinic settings</w:t>
            </w:r>
          </w:p>
        </w:tc>
        <w:tc>
          <w:tcPr>
            <w:tcW w:w="1684" w:type="dxa"/>
          </w:tcPr>
          <w:p w14:paraId="1D770803" w14:textId="77777777" w:rsidR="00960743" w:rsidRPr="00B8667B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D9E067B" w14:textId="7A7B2FC1" w:rsidR="00960743" w:rsidRPr="006E33E1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</w:t>
            </w:r>
          </w:p>
        </w:tc>
      </w:tr>
      <w:tr w:rsidR="00960743" w:rsidRPr="0060311A" w14:paraId="043270CC" w14:textId="5FD3365C" w:rsidTr="006E33E1">
        <w:tc>
          <w:tcPr>
            <w:tcW w:w="1662" w:type="dxa"/>
          </w:tcPr>
          <w:p w14:paraId="22639C9F" w14:textId="624EB518" w:rsidR="00960743" w:rsidRPr="006E33E1" w:rsidRDefault="00960743" w:rsidP="009607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 xml:space="preserve">1.3.26. </w:t>
            </w:r>
            <w:r w:rsidRPr="006E33E1">
              <w:rPr>
                <w:rFonts w:ascii="Arial" w:hAnsi="Arial" w:cs="Arial"/>
                <w:i/>
                <w:iCs/>
                <w:sz w:val="20"/>
                <w:szCs w:val="20"/>
              </w:rPr>
              <w:t>1-2</w:t>
            </w:r>
          </w:p>
        </w:tc>
        <w:tc>
          <w:tcPr>
            <w:tcW w:w="3833" w:type="dxa"/>
          </w:tcPr>
          <w:p w14:paraId="2CD3D913" w14:textId="77777777" w:rsidR="00960743" w:rsidRPr="006E33E1" w:rsidRDefault="00960743" w:rsidP="00960743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Perioperative medical management:</w:t>
            </w:r>
          </w:p>
          <w:p w14:paraId="205E32F8" w14:textId="49D09A67" w:rsidR="00960743" w:rsidRPr="006E33E1" w:rsidRDefault="00960743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Pre-operative medical assessment and risk mitigation</w:t>
            </w:r>
          </w:p>
          <w:p w14:paraId="2CA655A2" w14:textId="7CDF59D1" w:rsidR="00960743" w:rsidRPr="006E33E1" w:rsidRDefault="00960743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Principles of post-operative management, including pain control, sedation, fluid administration, and antibiotics</w:t>
            </w:r>
          </w:p>
        </w:tc>
        <w:tc>
          <w:tcPr>
            <w:tcW w:w="2171" w:type="dxa"/>
          </w:tcPr>
          <w:p w14:paraId="6DB8DF9E" w14:textId="77777777" w:rsidR="00352735" w:rsidRPr="00B8667B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002905" w14:textId="6C145F85" w:rsidR="00960743" w:rsidRPr="006E33E1" w:rsidRDefault="00960743" w:rsidP="00352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28959D6" w14:textId="77777777" w:rsidR="00352735" w:rsidRPr="00B8667B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4D95D82" w14:textId="5A483EEE" w:rsidR="00960743" w:rsidRPr="006E33E1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</w:t>
            </w:r>
          </w:p>
        </w:tc>
      </w:tr>
      <w:tr w:rsidR="00352735" w:rsidRPr="0060311A" w14:paraId="07E9277C" w14:textId="61E52841" w:rsidTr="006E33E1">
        <w:tc>
          <w:tcPr>
            <w:tcW w:w="1662" w:type="dxa"/>
          </w:tcPr>
          <w:p w14:paraId="71D51EEC" w14:textId="12BA1652" w:rsidR="00352735" w:rsidRPr="006E33E1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1.3.27.8</w:t>
            </w:r>
          </w:p>
        </w:tc>
        <w:tc>
          <w:tcPr>
            <w:tcW w:w="3833" w:type="dxa"/>
          </w:tcPr>
          <w:p w14:paraId="5ECF3E17" w14:textId="77777777" w:rsidR="00352735" w:rsidRPr="006E33E1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Life threatening conditions, including approach to assessment and initial management of:</w:t>
            </w:r>
          </w:p>
          <w:p w14:paraId="18102645" w14:textId="7A4B020C" w:rsidR="00352735" w:rsidRPr="006E33E1" w:rsidRDefault="00352735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Hepatic failure</w:t>
            </w:r>
          </w:p>
        </w:tc>
        <w:tc>
          <w:tcPr>
            <w:tcW w:w="2171" w:type="dxa"/>
          </w:tcPr>
          <w:p w14:paraId="09A72F50" w14:textId="77777777" w:rsidR="00352735" w:rsidRPr="00B8667B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Academic Curriculum (Peds GI AHD)</w:t>
            </w:r>
          </w:p>
          <w:p w14:paraId="6DCEC46F" w14:textId="77777777" w:rsidR="00352735" w:rsidRPr="00B8667B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2D541" w14:textId="77777777" w:rsidR="00352735" w:rsidRPr="00B8667B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98D326" w14:textId="74CBED0F" w:rsidR="00352735" w:rsidRPr="006E33E1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Includes specialty clinic exposure in CF/CHIRP clinic settings</w:t>
            </w:r>
          </w:p>
        </w:tc>
        <w:tc>
          <w:tcPr>
            <w:tcW w:w="1684" w:type="dxa"/>
          </w:tcPr>
          <w:p w14:paraId="4E525F78" w14:textId="77777777" w:rsidR="00352735" w:rsidRPr="00B8667B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F463243" w14:textId="67858433" w:rsidR="00352735" w:rsidRPr="006E33E1" w:rsidRDefault="00352735" w:rsidP="00352735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ITARs, Cue Cards Assignment</w:t>
            </w:r>
          </w:p>
        </w:tc>
      </w:tr>
      <w:tr w:rsidR="00F5790D" w:rsidRPr="0060311A" w14:paraId="7D47AAA9" w14:textId="3302F65A" w:rsidTr="006E33E1">
        <w:tc>
          <w:tcPr>
            <w:tcW w:w="1662" w:type="dxa"/>
          </w:tcPr>
          <w:p w14:paraId="5497FC5F" w14:textId="098DF57F" w:rsidR="00F5790D" w:rsidRPr="006E33E1" w:rsidRDefault="00F5790D" w:rsidP="00F5790D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1.3.29.8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E33E1">
              <w:rPr>
                <w:rFonts w:ascii="Arial" w:hAnsi="Arial" w:cs="Arial"/>
                <w:i/>
                <w:sz w:val="20"/>
                <w:szCs w:val="20"/>
              </w:rPr>
              <w:t>8, 10, 17</w:t>
            </w:r>
          </w:p>
        </w:tc>
        <w:tc>
          <w:tcPr>
            <w:tcW w:w="3833" w:type="dxa"/>
          </w:tcPr>
          <w:p w14:paraId="1C56F06B" w14:textId="77777777" w:rsidR="00F5790D" w:rsidRPr="006E33E1" w:rsidRDefault="00F5790D" w:rsidP="00F5790D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Neonatal and perinatal health - assessment and management of:</w:t>
            </w:r>
          </w:p>
          <w:p w14:paraId="5077D265" w14:textId="54B13A78" w:rsidR="00F5790D" w:rsidRDefault="00F5790D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Feeding problems</w:t>
            </w:r>
          </w:p>
          <w:p w14:paraId="2E1CFAC4" w14:textId="5BF8A914" w:rsidR="00F5790D" w:rsidRDefault="00F5790D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Hyperbilirubinemia</w:t>
            </w:r>
          </w:p>
          <w:p w14:paraId="1E1DFCA1" w14:textId="6877A167" w:rsidR="00F5790D" w:rsidRPr="006E33E1" w:rsidRDefault="00F5790D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Conditions of the newborn potentially requiring surgical intervention, including: esophageal atresia, gastroschisis, intestinal atresia, NEC, omphalocele, TEF</w:t>
            </w:r>
          </w:p>
        </w:tc>
        <w:tc>
          <w:tcPr>
            <w:tcW w:w="2171" w:type="dxa"/>
          </w:tcPr>
          <w:p w14:paraId="0634AB4E" w14:textId="29AA52B9" w:rsidR="00F5790D" w:rsidRPr="00B8667B" w:rsidRDefault="00F5790D" w:rsidP="00F5790D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Academic Curriculum (Peds GI</w:t>
            </w:r>
            <w:r>
              <w:rPr>
                <w:rFonts w:ascii="Arial" w:hAnsi="Arial" w:cs="Arial"/>
                <w:sz w:val="20"/>
                <w:szCs w:val="20"/>
              </w:rPr>
              <w:t>/Peds</w:t>
            </w:r>
            <w:r w:rsidRPr="00B8667B">
              <w:rPr>
                <w:rFonts w:ascii="Arial" w:hAnsi="Arial" w:cs="Arial"/>
                <w:sz w:val="20"/>
                <w:szCs w:val="20"/>
              </w:rPr>
              <w:t xml:space="preserve"> AHD)</w:t>
            </w:r>
          </w:p>
          <w:p w14:paraId="2D9C86B6" w14:textId="77777777" w:rsidR="00F5790D" w:rsidRPr="00B8667B" w:rsidRDefault="00F5790D" w:rsidP="00F579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EFF5F" w14:textId="50F3AB08" w:rsidR="00F5790D" w:rsidRPr="006E33E1" w:rsidRDefault="00F5790D" w:rsidP="00F5790D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4" w:type="dxa"/>
          </w:tcPr>
          <w:p w14:paraId="3D5E9435" w14:textId="77777777" w:rsidR="00F5790D" w:rsidRPr="00B8667B" w:rsidRDefault="00F5790D" w:rsidP="00F5790D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13B1B583" w14:textId="5F2DACEC" w:rsidR="00F5790D" w:rsidRPr="006E33E1" w:rsidRDefault="00F5790D" w:rsidP="00F5790D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ITARs, MCQ/SAQ Assignment</w:t>
            </w:r>
          </w:p>
        </w:tc>
      </w:tr>
      <w:tr w:rsidR="00DC630C" w:rsidRPr="0060311A" w14:paraId="1E9AEA7D" w14:textId="238D1BC3" w:rsidTr="006E33E1">
        <w:tc>
          <w:tcPr>
            <w:tcW w:w="1662" w:type="dxa"/>
          </w:tcPr>
          <w:p w14:paraId="1DBB86B0" w14:textId="1D96FC67" w:rsidR="00DC630C" w:rsidRPr="006E33E1" w:rsidRDefault="00DC630C" w:rsidP="00DC63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1.3.30.</w:t>
            </w:r>
            <w:r>
              <w:rPr>
                <w:rFonts w:ascii="Arial" w:hAnsi="Arial" w:cs="Arial"/>
                <w:sz w:val="20"/>
                <w:szCs w:val="20"/>
              </w:rPr>
              <w:t xml:space="preserve">2, 3, </w:t>
            </w:r>
            <w:r w:rsidRPr="006E33E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7</w:t>
            </w:r>
          </w:p>
        </w:tc>
        <w:tc>
          <w:tcPr>
            <w:tcW w:w="3833" w:type="dxa"/>
          </w:tcPr>
          <w:p w14:paraId="227C29D9" w14:textId="77777777" w:rsidR="00DC630C" w:rsidRPr="006E33E1" w:rsidRDefault="00DC630C" w:rsidP="00DC630C">
            <w:p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Adolescent health:</w:t>
            </w:r>
          </w:p>
          <w:p w14:paraId="41695FF5" w14:textId="5D8B2D52" w:rsidR="00DC630C" w:rsidRDefault="00DC630C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Confidentiality and its limits</w:t>
            </w:r>
          </w:p>
          <w:p w14:paraId="44CF3A15" w14:textId="7E1331C5" w:rsidR="00DC630C" w:rsidRDefault="00DC630C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Anticipatory guidance regarding lifestyle choices</w:t>
            </w:r>
          </w:p>
          <w:p w14:paraId="76ACBEFD" w14:textId="77777777" w:rsidR="00DC630C" w:rsidRDefault="00DC630C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E33E1">
              <w:rPr>
                <w:rFonts w:ascii="Arial" w:hAnsi="Arial" w:cs="Arial"/>
                <w:sz w:val="20"/>
                <w:szCs w:val="20"/>
              </w:rPr>
              <w:t>Frameworks to promote self management and adherence in patients with chronic health disorders</w:t>
            </w:r>
          </w:p>
          <w:p w14:paraId="6CC058BA" w14:textId="56DD6F4F" w:rsidR="00DC630C" w:rsidRPr="006E33E1" w:rsidRDefault="00DC630C" w:rsidP="006E33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management of chronic pain, f</w:t>
            </w:r>
            <w:r w:rsidRPr="006E33E1">
              <w:rPr>
                <w:rFonts w:ascii="Arial" w:hAnsi="Arial" w:cs="Arial"/>
                <w:sz w:val="20"/>
                <w:szCs w:val="20"/>
              </w:rPr>
              <w:t>eeding and eating disorders (</w:t>
            </w:r>
            <w:r>
              <w:rPr>
                <w:rFonts w:ascii="Arial" w:hAnsi="Arial" w:cs="Arial"/>
                <w:i/>
                <w:sz w:val="20"/>
                <w:szCs w:val="20"/>
              </w:rPr>
              <w:t>possible</w:t>
            </w:r>
            <w:r w:rsidRPr="006E33E1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substance use </w:t>
            </w:r>
            <w:r>
              <w:rPr>
                <w:rFonts w:ascii="Arial" w:hAnsi="Arial" w:cs="Arial"/>
                <w:i/>
                <w:sz w:val="20"/>
                <w:szCs w:val="20"/>
              </w:rPr>
              <w:t>(possible)</w:t>
            </w:r>
          </w:p>
        </w:tc>
        <w:tc>
          <w:tcPr>
            <w:tcW w:w="2171" w:type="dxa"/>
          </w:tcPr>
          <w:p w14:paraId="63E34D96" w14:textId="548C9F36" w:rsidR="00DC630C" w:rsidRPr="00B8667B" w:rsidRDefault="00DC630C" w:rsidP="00DC630C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Academic Curriculum (Peds GI</w:t>
            </w:r>
            <w:r>
              <w:rPr>
                <w:rFonts w:ascii="Arial" w:hAnsi="Arial" w:cs="Arial"/>
                <w:sz w:val="20"/>
                <w:szCs w:val="20"/>
              </w:rPr>
              <w:t>/Peds</w:t>
            </w:r>
            <w:r w:rsidRPr="00B8667B">
              <w:rPr>
                <w:rFonts w:ascii="Arial" w:hAnsi="Arial" w:cs="Arial"/>
                <w:sz w:val="20"/>
                <w:szCs w:val="20"/>
              </w:rPr>
              <w:t xml:space="preserve"> AHD)</w:t>
            </w:r>
            <w:r>
              <w:rPr>
                <w:rFonts w:ascii="Arial" w:hAnsi="Arial" w:cs="Arial"/>
                <w:sz w:val="20"/>
                <w:szCs w:val="20"/>
              </w:rPr>
              <w:t xml:space="preserve"> re: chronic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pain</w:t>
            </w:r>
          </w:p>
          <w:p w14:paraId="6B3069D0" w14:textId="77777777" w:rsidR="00DC630C" w:rsidRDefault="00DC630C" w:rsidP="00DC63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8BD2D" w14:textId="47177D58" w:rsidR="00DC630C" w:rsidRPr="006E33E1" w:rsidRDefault="00DC630C" w:rsidP="00DC630C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experiences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4" w:type="dxa"/>
          </w:tcPr>
          <w:p w14:paraId="326AD949" w14:textId="77777777" w:rsidR="00DC630C" w:rsidRPr="00B8667B" w:rsidRDefault="00DC630C" w:rsidP="00DC630C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Clinical rotation (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inpt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8667B">
              <w:rPr>
                <w:rFonts w:ascii="Arial" w:hAnsi="Arial" w:cs="Arial"/>
                <w:sz w:val="20"/>
                <w:szCs w:val="20"/>
              </w:rPr>
              <w:t>outpt</w:t>
            </w:r>
            <w:proofErr w:type="spellEnd"/>
            <w:r w:rsidRPr="00B8667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776ED204" w14:textId="0970ECF4" w:rsidR="00DC630C" w:rsidRPr="006E33E1" w:rsidRDefault="00DC630C">
            <w:pPr>
              <w:rPr>
                <w:rFonts w:ascii="Arial" w:hAnsi="Arial" w:cs="Arial"/>
                <w:sz w:val="20"/>
                <w:szCs w:val="20"/>
              </w:rPr>
            </w:pPr>
            <w:r w:rsidRPr="00B8667B">
              <w:rPr>
                <w:rFonts w:ascii="Arial" w:hAnsi="Arial" w:cs="Arial"/>
                <w:sz w:val="20"/>
                <w:szCs w:val="20"/>
              </w:rPr>
              <w:t>EPA assessments</w:t>
            </w:r>
            <w:r>
              <w:rPr>
                <w:rFonts w:ascii="Arial" w:hAnsi="Arial" w:cs="Arial"/>
                <w:sz w:val="20"/>
                <w:szCs w:val="20"/>
              </w:rPr>
              <w:t>, ITARs, Cue Cards Assignment</w:t>
            </w:r>
          </w:p>
        </w:tc>
      </w:tr>
    </w:tbl>
    <w:p w14:paraId="6CAC7219" w14:textId="50978972" w:rsidR="00805996" w:rsidRPr="0060311A" w:rsidRDefault="00805996" w:rsidP="00111FC3">
      <w:pPr>
        <w:keepNext/>
        <w:ind w:left="360"/>
        <w:rPr>
          <w:rFonts w:ascii="Arial" w:hAnsi="Arial" w:cs="Arial"/>
          <w:sz w:val="22"/>
          <w:szCs w:val="22"/>
          <w:u w:val="thick"/>
        </w:rPr>
      </w:pPr>
    </w:p>
    <w:p w14:paraId="33538F41" w14:textId="77777777" w:rsidR="005C185C" w:rsidRDefault="005C185C" w:rsidP="00696865">
      <w:pPr>
        <w:rPr>
          <w:rFonts w:ascii="Arial" w:hAnsi="Arial" w:cs="Arial"/>
          <w:sz w:val="22"/>
          <w:szCs w:val="22"/>
          <w:u w:val="thick"/>
        </w:rPr>
      </w:pPr>
    </w:p>
    <w:p w14:paraId="2FE32774" w14:textId="0858020E" w:rsidR="00696865" w:rsidRPr="005C185C" w:rsidRDefault="00696865" w:rsidP="00696865">
      <w:pPr>
        <w:rPr>
          <w:rFonts w:ascii="Arial" w:hAnsi="Arial" w:cs="Arial"/>
          <w:b/>
          <w:sz w:val="22"/>
          <w:szCs w:val="22"/>
          <w:u w:val="thick"/>
        </w:rPr>
      </w:pPr>
      <w:r w:rsidRPr="005C185C">
        <w:rPr>
          <w:rFonts w:ascii="Arial" w:hAnsi="Arial" w:cs="Arial"/>
          <w:b/>
          <w:sz w:val="22"/>
          <w:szCs w:val="22"/>
          <w:u w:val="thick"/>
        </w:rPr>
        <w:lastRenderedPageBreak/>
        <w:t>Required Training Experiences Mapped to this Rotation Include</w:t>
      </w:r>
      <w:r w:rsidR="00094CDD" w:rsidRPr="005C185C">
        <w:rPr>
          <w:rFonts w:ascii="Arial" w:hAnsi="Arial" w:cs="Arial"/>
          <w:b/>
          <w:sz w:val="22"/>
          <w:szCs w:val="22"/>
          <w:u w:val="thick"/>
        </w:rPr>
        <w:t xml:space="preserve"> </w:t>
      </w:r>
      <w:r w:rsidR="00094CDD" w:rsidRPr="005C185C">
        <w:rPr>
          <w:rFonts w:ascii="Arial" w:hAnsi="Arial" w:cs="Arial"/>
          <w:b/>
          <w:i/>
          <w:sz w:val="22"/>
          <w:szCs w:val="22"/>
          <w:u w:val="thick"/>
        </w:rPr>
        <w:t>(program populates)</w:t>
      </w:r>
      <w:r w:rsidRPr="005C185C">
        <w:rPr>
          <w:rFonts w:ascii="Arial" w:hAnsi="Arial" w:cs="Arial"/>
          <w:b/>
          <w:i/>
          <w:sz w:val="22"/>
          <w:szCs w:val="22"/>
          <w:u w:val="thick"/>
        </w:rPr>
        <w:t>:</w:t>
      </w:r>
      <w:r w:rsidRPr="005C185C">
        <w:rPr>
          <w:rFonts w:ascii="Arial" w:hAnsi="Arial" w:cs="Arial"/>
          <w:b/>
          <w:sz w:val="22"/>
          <w:szCs w:val="22"/>
          <w:u w:val="thick"/>
        </w:rPr>
        <w:t xml:space="preserve"> </w:t>
      </w:r>
    </w:p>
    <w:p w14:paraId="386D63E9" w14:textId="77777777" w:rsidR="00696865" w:rsidRPr="0060311A" w:rsidRDefault="00696865" w:rsidP="00696865">
      <w:pPr>
        <w:rPr>
          <w:rFonts w:ascii="Arial" w:hAnsi="Arial" w:cs="Arial"/>
          <w:sz w:val="22"/>
          <w:szCs w:val="22"/>
        </w:rPr>
      </w:pPr>
    </w:p>
    <w:p w14:paraId="579EA228" w14:textId="5B0BF43A" w:rsidR="00696865" w:rsidRDefault="006A3D96" w:rsidP="006968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TTD: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1.1.2.2: Clinic</w:t>
      </w:r>
    </w:p>
    <w:p w14:paraId="34C02B83" w14:textId="74A5392C" w:rsidR="006A3D96" w:rsidRDefault="006A3D96" w:rsidP="006968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Foundations:</w:t>
      </w:r>
      <w:r>
        <w:rPr>
          <w:rFonts w:ascii="Arial" w:hAnsi="Arial" w:cs="Arial"/>
          <w:sz w:val="22"/>
          <w:szCs w:val="22"/>
        </w:rPr>
        <w:tab/>
        <w:t>4.1.2: Clinic</w:t>
      </w:r>
    </w:p>
    <w:p w14:paraId="093F9E0D" w14:textId="6BC94281" w:rsidR="00707512" w:rsidRPr="0060311A" w:rsidRDefault="006A3D96" w:rsidP="006968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6.2.13: </w:t>
      </w:r>
      <w:r w:rsidR="00C06194">
        <w:rPr>
          <w:rFonts w:ascii="Arial" w:hAnsi="Arial" w:cs="Arial"/>
          <w:sz w:val="22"/>
          <w:szCs w:val="22"/>
        </w:rPr>
        <w:t>Gastroenterology</w:t>
      </w:r>
      <w:r>
        <w:rPr>
          <w:rFonts w:ascii="Arial" w:hAnsi="Arial" w:cs="Arial"/>
          <w:sz w:val="22"/>
          <w:szCs w:val="22"/>
        </w:rPr>
        <w:t xml:space="preserve"> (Recommended)</w:t>
      </w:r>
    </w:p>
    <w:p w14:paraId="689EFE69" w14:textId="77777777" w:rsidR="00707512" w:rsidRPr="0060311A" w:rsidRDefault="00707512" w:rsidP="00696865">
      <w:pPr>
        <w:rPr>
          <w:rFonts w:ascii="Arial" w:hAnsi="Arial" w:cs="Arial"/>
          <w:sz w:val="22"/>
          <w:szCs w:val="22"/>
        </w:rPr>
      </w:pPr>
    </w:p>
    <w:p w14:paraId="3692E9FF" w14:textId="77777777" w:rsidR="00707512" w:rsidRPr="0060311A" w:rsidRDefault="00707512" w:rsidP="00696865">
      <w:pPr>
        <w:rPr>
          <w:rFonts w:ascii="Arial" w:hAnsi="Arial" w:cs="Arial"/>
          <w:sz w:val="22"/>
          <w:szCs w:val="22"/>
        </w:rPr>
      </w:pPr>
    </w:p>
    <w:p w14:paraId="2C5AFD71" w14:textId="77777777" w:rsidR="00707512" w:rsidRPr="0060311A" w:rsidRDefault="00707512" w:rsidP="00696865">
      <w:pPr>
        <w:rPr>
          <w:rFonts w:ascii="Arial" w:hAnsi="Arial" w:cs="Arial"/>
          <w:sz w:val="22"/>
          <w:szCs w:val="22"/>
        </w:rPr>
      </w:pPr>
    </w:p>
    <w:p w14:paraId="7BBFC16D" w14:textId="46A75A39" w:rsidR="00696865" w:rsidRPr="005C185C" w:rsidRDefault="00696865" w:rsidP="00696865">
      <w:pPr>
        <w:rPr>
          <w:rFonts w:ascii="Arial" w:hAnsi="Arial" w:cs="Arial"/>
          <w:b/>
          <w:sz w:val="22"/>
          <w:szCs w:val="22"/>
          <w:u w:val="thick"/>
        </w:rPr>
      </w:pPr>
      <w:r w:rsidRPr="005C185C">
        <w:rPr>
          <w:rFonts w:ascii="Arial" w:hAnsi="Arial" w:cs="Arial"/>
          <w:b/>
          <w:sz w:val="22"/>
          <w:szCs w:val="22"/>
          <w:u w:val="thick"/>
        </w:rPr>
        <w:t>Other Training Experiences Mapped to this Rotation include</w:t>
      </w:r>
      <w:r w:rsidR="00094CDD" w:rsidRPr="005C185C">
        <w:rPr>
          <w:rFonts w:ascii="Arial" w:hAnsi="Arial" w:cs="Arial"/>
          <w:b/>
          <w:sz w:val="22"/>
          <w:szCs w:val="22"/>
          <w:u w:val="thick"/>
        </w:rPr>
        <w:t xml:space="preserve"> </w:t>
      </w:r>
      <w:r w:rsidR="00094CDD" w:rsidRPr="005C185C">
        <w:rPr>
          <w:rFonts w:ascii="Arial" w:hAnsi="Arial" w:cs="Arial"/>
          <w:b/>
          <w:i/>
          <w:sz w:val="22"/>
          <w:szCs w:val="22"/>
          <w:u w:val="thick"/>
        </w:rPr>
        <w:t>(program populates)</w:t>
      </w:r>
      <w:r w:rsidRPr="005C185C">
        <w:rPr>
          <w:rFonts w:ascii="Arial" w:hAnsi="Arial" w:cs="Arial"/>
          <w:b/>
          <w:i/>
          <w:sz w:val="22"/>
          <w:szCs w:val="22"/>
          <w:u w:val="thick"/>
        </w:rPr>
        <w:t>:</w:t>
      </w:r>
      <w:r w:rsidRPr="005C185C">
        <w:rPr>
          <w:rFonts w:ascii="Arial" w:hAnsi="Arial" w:cs="Arial"/>
          <w:b/>
          <w:sz w:val="22"/>
          <w:szCs w:val="22"/>
          <w:u w:val="thick"/>
        </w:rPr>
        <w:t xml:space="preserve"> </w:t>
      </w:r>
    </w:p>
    <w:p w14:paraId="066C7E31" w14:textId="77777777" w:rsidR="00696865" w:rsidRPr="0060311A" w:rsidRDefault="00696865" w:rsidP="00696865">
      <w:pPr>
        <w:rPr>
          <w:rFonts w:ascii="Arial" w:hAnsi="Arial" w:cs="Arial"/>
          <w:sz w:val="22"/>
          <w:szCs w:val="22"/>
          <w:u w:val="thick"/>
        </w:rPr>
      </w:pPr>
    </w:p>
    <w:p w14:paraId="2828790A" w14:textId="7769A4BE" w:rsidR="002D344E" w:rsidRPr="0060311A" w:rsidRDefault="002D344E">
      <w:pPr>
        <w:rPr>
          <w:rFonts w:ascii="Arial" w:hAnsi="Arial" w:cs="Arial"/>
          <w:sz w:val="22"/>
          <w:szCs w:val="22"/>
        </w:rPr>
      </w:pPr>
    </w:p>
    <w:sectPr w:rsidR="002D344E" w:rsidRPr="0060311A" w:rsidSect="0060311A">
      <w:headerReference w:type="default" r:id="rId7"/>
      <w:footerReference w:type="default" r:id="rId8"/>
      <w:pgSz w:w="12240" w:h="15840"/>
      <w:pgMar w:top="1440" w:right="1440" w:bottom="81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3CCC0" w14:textId="77777777" w:rsidR="00652547" w:rsidRDefault="00652547" w:rsidP="00A56D8A">
      <w:r>
        <w:separator/>
      </w:r>
    </w:p>
  </w:endnote>
  <w:endnote w:type="continuationSeparator" w:id="0">
    <w:p w14:paraId="5132EF8D" w14:textId="77777777" w:rsidR="00652547" w:rsidRDefault="00652547" w:rsidP="00A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0761A" w14:textId="77777777" w:rsidR="00B73549" w:rsidRDefault="00B73549" w:rsidP="00B73549">
    <w:pPr>
      <w:pStyle w:val="Footer"/>
      <w:jc w:val="right"/>
      <w:rPr>
        <w:sz w:val="20"/>
      </w:rPr>
    </w:pPr>
    <w:r>
      <w:rPr>
        <w:sz w:val="20"/>
      </w:rPr>
      <w:t>Q</w:t>
    </w:r>
    <w:r w:rsidRPr="00EA4FC4">
      <w:rPr>
        <w:sz w:val="20"/>
      </w:rPr>
      <w:t>uestions</w:t>
    </w:r>
    <w:r>
      <w:rPr>
        <w:sz w:val="20"/>
      </w:rPr>
      <w:t>? C</w:t>
    </w:r>
    <w:r w:rsidRPr="00EA4FC4">
      <w:rPr>
        <w:sz w:val="20"/>
      </w:rPr>
      <w:t xml:space="preserve">ontact </w:t>
    </w:r>
    <w:hyperlink r:id="rId1" w:history="1">
      <w:r w:rsidRPr="0006560D">
        <w:rPr>
          <w:rStyle w:val="Hyperlink"/>
          <w:sz w:val="20"/>
        </w:rPr>
        <w:t>pediatric.residencyprogram@ahs.ca</w:t>
      </w:r>
    </w:hyperlink>
  </w:p>
  <w:p w14:paraId="566F97D0" w14:textId="77777777" w:rsidR="00B73549" w:rsidRPr="00EA4FC4" w:rsidRDefault="00B73549" w:rsidP="00B73549">
    <w:pPr>
      <w:pStyle w:val="Footer"/>
      <w:jc w:val="right"/>
      <w:rPr>
        <w:sz w:val="20"/>
      </w:rPr>
    </w:pPr>
    <w:r w:rsidRPr="00EA4FC4">
      <w:rPr>
        <w:sz w:val="20"/>
      </w:rPr>
      <w:t>May 2021</w:t>
    </w:r>
  </w:p>
  <w:p w14:paraId="121FF4A3" w14:textId="77777777" w:rsidR="00B73549" w:rsidRPr="00EA4FC4" w:rsidRDefault="00B73549" w:rsidP="00B73549">
    <w:pPr>
      <w:pStyle w:val="Footer"/>
      <w:jc w:val="right"/>
      <w:rPr>
        <w:sz w:val="20"/>
      </w:rPr>
    </w:pPr>
  </w:p>
  <w:p w14:paraId="19E3787F" w14:textId="610344BA" w:rsidR="00286EA1" w:rsidRDefault="00286EA1" w:rsidP="00AE7871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81519" w14:textId="77777777" w:rsidR="00652547" w:rsidRDefault="00652547" w:rsidP="00A56D8A">
      <w:r>
        <w:separator/>
      </w:r>
    </w:p>
  </w:footnote>
  <w:footnote w:type="continuationSeparator" w:id="0">
    <w:p w14:paraId="752844CB" w14:textId="77777777" w:rsidR="00652547" w:rsidRDefault="00652547" w:rsidP="00A5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108063716"/>
  <w:bookmarkEnd w:id="1"/>
  <w:p w14:paraId="132F867E" w14:textId="7BB0FF8E" w:rsidR="00286EA1" w:rsidRDefault="005F5511">
    <w:pPr>
      <w:pStyle w:val="Header"/>
    </w:pPr>
    <w:r w:rsidRPr="00D47182">
      <w:rPr>
        <w:rFonts w:ascii="Arial" w:hAnsi="Arial" w:cs="Arial"/>
        <w:noProof/>
      </w:rPr>
      <w:object w:dxaOrig="1561" w:dyaOrig="1721" w14:anchorId="171D9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6pt;height:73.5pt;mso-width-percent:0;mso-height-percent:0;mso-width-percent:0;mso-height-percent:0" o:ole="" fillcolor="window">
          <v:imagedata r:id="rId1" o:title=""/>
        </v:shape>
        <o:OLEObject Type="Embed" ProgID="Word.Picture.8" ShapeID="_x0000_i1025" DrawAspect="Content" ObjectID="_1688293728" r:id="rId2"/>
      </w:object>
    </w:r>
    <w:r w:rsidR="0060311A">
      <w:ptab w:relativeTo="margin" w:alignment="center" w:leader="none"/>
    </w:r>
    <w:r w:rsidR="0060311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659D"/>
    <w:multiLevelType w:val="hybridMultilevel"/>
    <w:tmpl w:val="DF4E74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04B6"/>
    <w:multiLevelType w:val="hybridMultilevel"/>
    <w:tmpl w:val="172A0396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0A7D"/>
    <w:multiLevelType w:val="hybridMultilevel"/>
    <w:tmpl w:val="1E14297E"/>
    <w:lvl w:ilvl="0" w:tplc="3E1632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36CA"/>
    <w:multiLevelType w:val="multilevel"/>
    <w:tmpl w:val="770A1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567F11"/>
    <w:multiLevelType w:val="hybridMultilevel"/>
    <w:tmpl w:val="D332B9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95966"/>
    <w:multiLevelType w:val="hybridMultilevel"/>
    <w:tmpl w:val="58366F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25CD1"/>
    <w:multiLevelType w:val="hybridMultilevel"/>
    <w:tmpl w:val="193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1142"/>
    <w:multiLevelType w:val="hybridMultilevel"/>
    <w:tmpl w:val="F74A83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F14DA"/>
    <w:multiLevelType w:val="hybridMultilevel"/>
    <w:tmpl w:val="2800D142"/>
    <w:lvl w:ilvl="0" w:tplc="52E6A1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4517A"/>
    <w:multiLevelType w:val="hybridMultilevel"/>
    <w:tmpl w:val="DF3829F8"/>
    <w:lvl w:ilvl="0" w:tplc="923ED6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C"/>
    <w:rsid w:val="00020092"/>
    <w:rsid w:val="000327F0"/>
    <w:rsid w:val="00036284"/>
    <w:rsid w:val="000448E5"/>
    <w:rsid w:val="0007215F"/>
    <w:rsid w:val="0007475F"/>
    <w:rsid w:val="00087D48"/>
    <w:rsid w:val="00094CDD"/>
    <w:rsid w:val="000C45A4"/>
    <w:rsid w:val="000F0E15"/>
    <w:rsid w:val="00104E3F"/>
    <w:rsid w:val="00106BB7"/>
    <w:rsid w:val="00111FC3"/>
    <w:rsid w:val="0011388C"/>
    <w:rsid w:val="00143423"/>
    <w:rsid w:val="00151836"/>
    <w:rsid w:val="001866E2"/>
    <w:rsid w:val="001B36D5"/>
    <w:rsid w:val="00212B94"/>
    <w:rsid w:val="002304D3"/>
    <w:rsid w:val="00261FF0"/>
    <w:rsid w:val="0027028E"/>
    <w:rsid w:val="00270E7A"/>
    <w:rsid w:val="00286EA1"/>
    <w:rsid w:val="002A61AF"/>
    <w:rsid w:val="002B72A3"/>
    <w:rsid w:val="002C2FE4"/>
    <w:rsid w:val="002D344E"/>
    <w:rsid w:val="002F27E7"/>
    <w:rsid w:val="003161EE"/>
    <w:rsid w:val="00317E2C"/>
    <w:rsid w:val="003250D9"/>
    <w:rsid w:val="00341822"/>
    <w:rsid w:val="003447B4"/>
    <w:rsid w:val="0034533D"/>
    <w:rsid w:val="00352735"/>
    <w:rsid w:val="00365439"/>
    <w:rsid w:val="003768CE"/>
    <w:rsid w:val="003F547C"/>
    <w:rsid w:val="003F5940"/>
    <w:rsid w:val="004136ED"/>
    <w:rsid w:val="0043382A"/>
    <w:rsid w:val="004378F6"/>
    <w:rsid w:val="00472036"/>
    <w:rsid w:val="0048287E"/>
    <w:rsid w:val="004A3E5C"/>
    <w:rsid w:val="004B2856"/>
    <w:rsid w:val="004D1063"/>
    <w:rsid w:val="00511675"/>
    <w:rsid w:val="0052335C"/>
    <w:rsid w:val="00525461"/>
    <w:rsid w:val="005262A0"/>
    <w:rsid w:val="005371E2"/>
    <w:rsid w:val="00544727"/>
    <w:rsid w:val="00553C69"/>
    <w:rsid w:val="005579E1"/>
    <w:rsid w:val="00586CB7"/>
    <w:rsid w:val="005C185C"/>
    <w:rsid w:val="005E049D"/>
    <w:rsid w:val="005F5511"/>
    <w:rsid w:val="00602C40"/>
    <w:rsid w:val="0060311A"/>
    <w:rsid w:val="006128E7"/>
    <w:rsid w:val="006148F9"/>
    <w:rsid w:val="00622C64"/>
    <w:rsid w:val="00632A2B"/>
    <w:rsid w:val="00633935"/>
    <w:rsid w:val="00634D40"/>
    <w:rsid w:val="00651E99"/>
    <w:rsid w:val="00652547"/>
    <w:rsid w:val="00656F4F"/>
    <w:rsid w:val="00667464"/>
    <w:rsid w:val="00696865"/>
    <w:rsid w:val="006A3D96"/>
    <w:rsid w:val="006B025E"/>
    <w:rsid w:val="006C4F1D"/>
    <w:rsid w:val="006D1826"/>
    <w:rsid w:val="006E33E1"/>
    <w:rsid w:val="007005D8"/>
    <w:rsid w:val="00707512"/>
    <w:rsid w:val="007159A7"/>
    <w:rsid w:val="00717C6C"/>
    <w:rsid w:val="00752686"/>
    <w:rsid w:val="0075537B"/>
    <w:rsid w:val="00763DDC"/>
    <w:rsid w:val="00795A75"/>
    <w:rsid w:val="007C2D95"/>
    <w:rsid w:val="007E6C65"/>
    <w:rsid w:val="008038A7"/>
    <w:rsid w:val="00803EBF"/>
    <w:rsid w:val="00805996"/>
    <w:rsid w:val="008167AC"/>
    <w:rsid w:val="0083326F"/>
    <w:rsid w:val="008332DF"/>
    <w:rsid w:val="00836CD6"/>
    <w:rsid w:val="00863172"/>
    <w:rsid w:val="008B6162"/>
    <w:rsid w:val="008C7D2F"/>
    <w:rsid w:val="008D0EF7"/>
    <w:rsid w:val="00916B1D"/>
    <w:rsid w:val="00927784"/>
    <w:rsid w:val="009369C0"/>
    <w:rsid w:val="009459BF"/>
    <w:rsid w:val="009559E8"/>
    <w:rsid w:val="00960743"/>
    <w:rsid w:val="009E5601"/>
    <w:rsid w:val="00A06081"/>
    <w:rsid w:val="00A341C8"/>
    <w:rsid w:val="00A3523D"/>
    <w:rsid w:val="00A36895"/>
    <w:rsid w:val="00A47EF4"/>
    <w:rsid w:val="00A56D8A"/>
    <w:rsid w:val="00A6475E"/>
    <w:rsid w:val="00A766FE"/>
    <w:rsid w:val="00A960AA"/>
    <w:rsid w:val="00AA79E0"/>
    <w:rsid w:val="00AB73E3"/>
    <w:rsid w:val="00AD0874"/>
    <w:rsid w:val="00AD18A5"/>
    <w:rsid w:val="00AD3F97"/>
    <w:rsid w:val="00AE7871"/>
    <w:rsid w:val="00B1284B"/>
    <w:rsid w:val="00B13D54"/>
    <w:rsid w:val="00B1641F"/>
    <w:rsid w:val="00B60F8C"/>
    <w:rsid w:val="00B6399E"/>
    <w:rsid w:val="00B63E67"/>
    <w:rsid w:val="00B73549"/>
    <w:rsid w:val="00B84464"/>
    <w:rsid w:val="00BA1C39"/>
    <w:rsid w:val="00BA3D16"/>
    <w:rsid w:val="00BE1B3E"/>
    <w:rsid w:val="00C06194"/>
    <w:rsid w:val="00C1218A"/>
    <w:rsid w:val="00C207B6"/>
    <w:rsid w:val="00C253C7"/>
    <w:rsid w:val="00C72561"/>
    <w:rsid w:val="00C76F7F"/>
    <w:rsid w:val="00C805CE"/>
    <w:rsid w:val="00C953B6"/>
    <w:rsid w:val="00CE71FC"/>
    <w:rsid w:val="00D02C67"/>
    <w:rsid w:val="00D049F7"/>
    <w:rsid w:val="00D3030A"/>
    <w:rsid w:val="00D402A5"/>
    <w:rsid w:val="00D417C6"/>
    <w:rsid w:val="00D6281F"/>
    <w:rsid w:val="00D62D47"/>
    <w:rsid w:val="00D97B9A"/>
    <w:rsid w:val="00DA2C82"/>
    <w:rsid w:val="00DC630C"/>
    <w:rsid w:val="00DD7A99"/>
    <w:rsid w:val="00DE312B"/>
    <w:rsid w:val="00DF1B7E"/>
    <w:rsid w:val="00E27AFB"/>
    <w:rsid w:val="00E41489"/>
    <w:rsid w:val="00E45CB8"/>
    <w:rsid w:val="00E46078"/>
    <w:rsid w:val="00E74D0C"/>
    <w:rsid w:val="00E878A0"/>
    <w:rsid w:val="00E900C4"/>
    <w:rsid w:val="00E9256A"/>
    <w:rsid w:val="00EA71FB"/>
    <w:rsid w:val="00ED65D3"/>
    <w:rsid w:val="00EF621C"/>
    <w:rsid w:val="00F46CB8"/>
    <w:rsid w:val="00F515C8"/>
    <w:rsid w:val="00F5790D"/>
    <w:rsid w:val="00F76808"/>
    <w:rsid w:val="00F8480D"/>
    <w:rsid w:val="00FA4891"/>
    <w:rsid w:val="00FC140C"/>
    <w:rsid w:val="00FC286D"/>
    <w:rsid w:val="00FD3723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C7C16D"/>
  <w15:docId w15:val="{78902958-D661-48E6-98B5-0F7E0060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4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5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6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D8A"/>
  </w:style>
  <w:style w:type="paragraph" w:styleId="Footer">
    <w:name w:val="footer"/>
    <w:basedOn w:val="Normal"/>
    <w:link w:val="FooterChar"/>
    <w:uiPriority w:val="99"/>
    <w:unhideWhenUsed/>
    <w:rsid w:val="00A56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D8A"/>
  </w:style>
  <w:style w:type="character" w:styleId="Hyperlink">
    <w:name w:val="Hyperlink"/>
    <w:basedOn w:val="DefaultParagraphFont"/>
    <w:uiPriority w:val="99"/>
    <w:unhideWhenUsed/>
    <w:rsid w:val="00B735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iatric.residencyprogram@ahs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 Jansky</cp:lastModifiedBy>
  <cp:revision>2</cp:revision>
  <dcterms:created xsi:type="dcterms:W3CDTF">2021-07-20T19:42:00Z</dcterms:created>
  <dcterms:modified xsi:type="dcterms:W3CDTF">2021-07-20T19:42:00Z</dcterms:modified>
</cp:coreProperties>
</file>